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lang w:eastAsia="zh-CN"/>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特克斯县发展和改革委员会</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both"/>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特克斯县发改委</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w:t>
      </w: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报</w:t>
      </w: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时</w:t>
      </w: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间</w:t>
      </w: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w:t>
      </w:r>
      <w:r>
        <w:rPr>
          <w:rFonts w:hAnsi="宋体" w:eastAsia="仿宋_GB2312" w:cs="宋体"/>
          <w:kern w:val="0"/>
          <w:sz w:val="36"/>
          <w:szCs w:val="36"/>
        </w:rPr>
        <w:t>202</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28</w:t>
      </w:r>
      <w:r>
        <w:rPr>
          <w:rFonts w:hint="eastAsia" w:hAnsi="宋体" w:eastAsia="仿宋_GB2312" w:cs="宋体"/>
          <w:kern w:val="0"/>
          <w:sz w:val="36"/>
          <w:szCs w:val="36"/>
        </w:rPr>
        <w:t>日</w:t>
      </w:r>
    </w:p>
    <w:p>
      <w:pPr>
        <w:pStyle w:val="4"/>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5"/>
        <w:spacing w:line="360" w:lineRule="auto"/>
        <w:rPr>
          <w:rStyle w:val="17"/>
          <w:rFonts w:ascii="仿宋" w:hAnsi="仿宋" w:eastAsia="仿宋"/>
          <w:b/>
          <w:bCs/>
        </w:rPr>
      </w:pPr>
      <w:bookmarkStart w:id="2" w:name="_Toc70450290"/>
      <w:r>
        <w:rPr>
          <w:rStyle w:val="17"/>
          <w:rFonts w:hint="eastAsia" w:ascii="仿宋" w:hAnsi="仿宋" w:eastAsia="仿宋"/>
          <w:b/>
          <w:bCs/>
        </w:rPr>
        <w:t>（一）部门单位基本情况</w:t>
      </w:r>
      <w:bookmarkEnd w:id="2"/>
    </w:p>
    <w:p>
      <w:pPr>
        <w:pStyle w:val="6"/>
        <w:spacing w:line="360" w:lineRule="auto"/>
        <w:ind w:firstLine="562" w:firstLineChars="200"/>
        <w:rPr>
          <w:rStyle w:val="17"/>
          <w:rFonts w:hint="eastAsia" w:asciiTheme="minorEastAsia" w:hAnsiTheme="minorEastAsia"/>
          <w:b/>
          <w:bCs w:val="0"/>
          <w:color w:val="FF0000"/>
          <w:spacing w:val="-4"/>
          <w:sz w:val="28"/>
          <w:szCs w:val="28"/>
        </w:rPr>
      </w:pPr>
      <w:bookmarkStart w:id="3" w:name="_Toc70450291"/>
      <w:r>
        <w:rPr>
          <w:rStyle w:val="17"/>
          <w:rFonts w:ascii="仿宋" w:hAnsi="仿宋" w:eastAsia="仿宋"/>
          <w:b/>
          <w:bCs/>
        </w:rPr>
        <w:t>1</w:t>
      </w:r>
      <w:r>
        <w:rPr>
          <w:rStyle w:val="17"/>
          <w:rFonts w:hint="eastAsia" w:ascii="仿宋" w:hAnsi="仿宋" w:eastAsia="仿宋"/>
          <w:b/>
          <w:bCs/>
        </w:rPr>
        <w:t>、主要职能</w:t>
      </w:r>
      <w:bookmarkEnd w:id="3"/>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lang w:eastAsia="zh-CN"/>
        </w:rPr>
        <w:t>1.贯彻执行国家、自治区和自治州的国民经济和社会发展方针、政策；研究提出全县国民经济和社会发展战略、中长期规划和年度发展计划；研究提出总量平衡、发展速度和结构调整的调控目标及调控政策；研究提出和组织实施重点专项规划，衔接和平衡部门主要行业的规划；受县人民政府委托向县人大提交国民经济和社会发展计划的报告。</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lang w:eastAsia="zh-CN"/>
        </w:rPr>
        <w:t>2.汇总和分析全县经济形势和发展情况，对县域宏观经济进行监测、预测、预警和综合分析，提出促进全县国民经济持续快速协调健康发展的政策建议；研究涉及全县经济安全的重要问题，综合协调全县经济和社会发展，提出政策措施和建议；负责国民经济动员工作。</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lang w:eastAsia="zh-CN"/>
        </w:rPr>
        <w:t>3.研究全县经济社会发展、改革、稳定和对外开放的重大问题，组织拟订全县综合性经济体制改革方案，协调有关专项经济体制改革方案；研究提出区域经济协调发展和实施西部大开发战略规划，推进全县经济与人口、资源、环境的协调发展。</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lang w:eastAsia="zh-CN"/>
        </w:rPr>
        <w:t>4.研究提出全县全社会固定资产投资总规模和投资方向，规划重大项目和生产力布局；编制全县固定资产投资计划、重点项目建设计划和前期项目计划，负责全县重点项目的管理和组织协调；指导和监督政策性贷款的使用方向；引导社会资金用于固定资产投资的方向；按照管理权限，负责审核上报、审批、核准、备案固定资产投资项目；组织实施县内固定资产投资项目节能评估审查工作；指导和协调全县招投标工作。</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lang w:eastAsia="zh-CN"/>
        </w:rPr>
        <w:t>5.推进产业结构战略性调整和升级；提出全县国民经济重要产业的发展战略和规划，组织审核上报、审批专项规划；研究并协调农业和农村经济社会发展的有关重大问题，协调衔接农村专项规划和政策；拟订并实施以工代赈规划和计划；研究提出能源发展战略规划；会同有关部门做好战略储备工作。</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lang w:eastAsia="zh-CN"/>
        </w:rPr>
        <w:t>6.研究提出利用外资的发展战略和结构优化的目标和政策；监测国外资金利用和全县外债结构优化状况；按照管理权限，负责审核上报、审批核准国外贷款、外商直接投资、境外投资项目；会同有关部门协调和审查利用重大内外资项目；负责全县世界银行及其他金融机构贷款项目工作。</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lang w:eastAsia="zh-CN"/>
        </w:rPr>
        <w:t>7.研究分析国内外市场的供求状况，负责全县重要商品的总量平衡和宏观调控；会同有关部门提出现代物流业发展战略和规划。</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lang w:eastAsia="zh-CN"/>
        </w:rPr>
        <w:t>8.负责全县社会发展与国民经济发展的政策衔接，组织拟订社会发展战略、总体规划和年度计划；参与拟订人口和计划生育、科学技术、教育、文化、卫生、民政等发展政策，协调全县社会事业发展的重大问题；研究提出促进就业、调整收入分配、完善社会保障与经济协调发展的政策，协调就业、收入分配和社会保障的重大问题。</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lang w:eastAsia="zh-CN"/>
        </w:rPr>
        <w:t>9.推进可持续发展战略，负责全县社会节能减排综合协调工作，组织拟订发展循环经济、全社会能源资源节约和综合利用规划及政策措施并协调实施；会同有关部门提出全县生态建设、资源节约综合利用规划和政策，协调生态建设、环保产业和资源节约综合利用的重大问题，综合协调环保产业和清洁生产促进有关工作。</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lang w:eastAsia="zh-CN"/>
        </w:rPr>
        <w:t>10.负责全县价格宏观管理、综合平衡和价格总水平调控，贯彻执行国家、自治区、自治州价格政策，组织实施监督国家、自治区、自治州价格政策的执行；制定和调整政府管理的重要商品价格、服务价格和收费项目、标准，发布重大价格信息。</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lang w:eastAsia="zh-CN"/>
        </w:rPr>
        <w:t>11.负责对全县市场调节的重要农牧、工业产品进行监审，办理提价申报和备案工作；指导全县价格收费管理工作；负责市场价格统计、监测工作，建立市场价格统计、监测、预警、统计报告制度，向国家、自治区、自治州上报价格统计报表及分析，收集整理、反馈市场价格信息，完善价格信息网络，负责全县价格信息工作。</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lang w:eastAsia="zh-CN"/>
        </w:rPr>
        <w:t>12.参与起草全县国民经济和社会发展以及经济体制改革、对外开放的有关地方性法规草案和规章。</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lang w:eastAsia="zh-CN"/>
        </w:rPr>
        <w:t>13.承办县人民政府交办的其他事项。</w:t>
      </w:r>
    </w:p>
    <w:p>
      <w:pPr>
        <w:pStyle w:val="2"/>
        <w:rPr>
          <w:rFonts w:hint="eastAsia"/>
          <w:lang w:eastAsia="zh-CN"/>
        </w:rPr>
      </w:pPr>
    </w:p>
    <w:p>
      <w:pPr>
        <w:pStyle w:val="6"/>
        <w:spacing w:line="360" w:lineRule="auto"/>
        <w:ind w:firstLine="562" w:firstLineChars="200"/>
        <w:rPr>
          <w:rStyle w:val="17"/>
          <w:rFonts w:ascii="仿宋" w:hAnsi="仿宋" w:eastAsia="仿宋"/>
          <w:b/>
          <w:bCs/>
        </w:rPr>
      </w:pPr>
      <w:bookmarkStart w:id="4" w:name="_Toc70450292"/>
      <w:r>
        <w:rPr>
          <w:rStyle w:val="17"/>
          <w:rFonts w:hint="eastAsia" w:ascii="仿宋" w:hAnsi="仿宋" w:eastAsia="仿宋"/>
          <w:b/>
          <w:bCs/>
        </w:rPr>
        <w:t>2、机构人员构成</w:t>
      </w:r>
      <w:bookmarkEnd w:id="4"/>
    </w:p>
    <w:p>
      <w:pPr>
        <w:spacing w:line="360" w:lineRule="auto"/>
        <w:ind w:firstLine="544" w:firstLineChars="200"/>
        <w:rPr>
          <w:rStyle w:val="17"/>
          <w:rFonts w:asciiTheme="minorEastAsia" w:hAnsiTheme="minorEastAsia"/>
          <w:bCs w:val="0"/>
          <w:color w:val="FF0000"/>
          <w:spacing w:val="-4"/>
          <w:sz w:val="28"/>
          <w:szCs w:val="28"/>
        </w:rPr>
      </w:pPr>
      <w:r>
        <w:rPr>
          <w:rStyle w:val="17"/>
          <w:rFonts w:hint="eastAsia" w:ascii="仿宋_GB2312" w:hAnsi="楷体" w:eastAsia="仿宋_GB2312"/>
          <w:b w:val="0"/>
          <w:spacing w:val="-4"/>
          <w:sz w:val="28"/>
          <w:szCs w:val="28"/>
        </w:rPr>
        <w:t>（1）组织机构设置：</w:t>
      </w:r>
    </w:p>
    <w:p>
      <w:pPr>
        <w:spacing w:line="360" w:lineRule="auto"/>
        <w:ind w:firstLine="544" w:firstLineChars="200"/>
        <w:rPr>
          <w:rStyle w:val="17"/>
          <w:rFonts w:asciiTheme="minorEastAsia" w:hAnsiTheme="minorEastAsia"/>
          <w:bCs w:val="0"/>
          <w:color w:val="FF0000"/>
          <w:spacing w:val="-4"/>
          <w:sz w:val="28"/>
          <w:szCs w:val="28"/>
        </w:rPr>
      </w:pPr>
      <w:r>
        <w:rPr>
          <w:rStyle w:val="17"/>
          <w:rFonts w:hint="eastAsia" w:ascii="仿宋_GB2312" w:hAnsi="楷体" w:eastAsia="仿宋_GB2312"/>
          <w:b w:val="0"/>
          <w:spacing w:val="-4"/>
          <w:sz w:val="28"/>
          <w:szCs w:val="28"/>
          <w:lang w:eastAsia="zh-CN"/>
        </w:rPr>
        <w:t>特克斯县发展和改革委员会</w:t>
      </w:r>
      <w:r>
        <w:rPr>
          <w:rStyle w:val="17"/>
          <w:rFonts w:hint="eastAsia" w:ascii="仿宋_GB2312" w:hAnsi="楷体" w:eastAsia="仿宋_GB2312"/>
          <w:b w:val="0"/>
          <w:spacing w:val="-4"/>
          <w:sz w:val="28"/>
          <w:szCs w:val="28"/>
        </w:rPr>
        <w:t>无下属预算单位，下设</w:t>
      </w:r>
      <w:r>
        <w:rPr>
          <w:rStyle w:val="17"/>
          <w:rFonts w:hint="eastAsia" w:ascii="仿宋_GB2312" w:hAnsi="楷体" w:eastAsia="仿宋_GB2312"/>
          <w:b w:val="0"/>
          <w:spacing w:val="-4"/>
          <w:sz w:val="28"/>
          <w:szCs w:val="28"/>
          <w:lang w:val="en-US" w:eastAsia="zh-CN"/>
        </w:rPr>
        <w:t>3</w:t>
      </w:r>
      <w:r>
        <w:rPr>
          <w:rStyle w:val="17"/>
          <w:rFonts w:hint="eastAsia" w:ascii="仿宋_GB2312" w:hAnsi="楷体" w:eastAsia="仿宋_GB2312"/>
          <w:b w:val="0"/>
          <w:spacing w:val="-4"/>
          <w:sz w:val="28"/>
          <w:szCs w:val="28"/>
        </w:rPr>
        <w:t>个</w:t>
      </w:r>
      <w:r>
        <w:rPr>
          <w:rStyle w:val="17"/>
          <w:rFonts w:hint="eastAsia" w:ascii="仿宋_GB2312" w:hAnsi="楷体" w:eastAsia="仿宋_GB2312"/>
          <w:b w:val="0"/>
          <w:spacing w:val="-4"/>
          <w:sz w:val="28"/>
          <w:szCs w:val="28"/>
          <w:lang w:eastAsia="zh-CN"/>
        </w:rPr>
        <w:t>科</w:t>
      </w:r>
      <w:r>
        <w:rPr>
          <w:rStyle w:val="17"/>
          <w:rFonts w:hint="eastAsia" w:ascii="仿宋_GB2312" w:hAnsi="楷体" w:eastAsia="仿宋_GB2312"/>
          <w:b w:val="0"/>
          <w:spacing w:val="-4"/>
          <w:sz w:val="28"/>
          <w:szCs w:val="28"/>
        </w:rPr>
        <w:t>室，分别是：</w:t>
      </w:r>
      <w:r>
        <w:rPr>
          <w:rStyle w:val="17"/>
          <w:rFonts w:hint="eastAsia" w:ascii="仿宋_GB2312" w:hAnsi="楷体" w:eastAsia="仿宋_GB2312"/>
          <w:b w:val="0"/>
          <w:spacing w:val="-4"/>
          <w:sz w:val="28"/>
          <w:szCs w:val="28"/>
          <w:lang w:eastAsia="zh-CN"/>
        </w:rPr>
        <w:t>价格认证中心、粮食行政执法大队、项目服务中心</w:t>
      </w:r>
      <w:r>
        <w:rPr>
          <w:rStyle w:val="17"/>
          <w:rFonts w:hint="eastAsia" w:ascii="仿宋_GB2312" w:hAnsi="楷体" w:eastAsia="仿宋_GB2312"/>
          <w:b w:val="0"/>
          <w:spacing w:val="-4"/>
          <w:sz w:val="28"/>
          <w:szCs w:val="28"/>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（2）2021年</w:t>
      </w:r>
      <w:r>
        <w:rPr>
          <w:rStyle w:val="17"/>
          <w:rFonts w:hint="eastAsia" w:ascii="仿宋_GB2312" w:hAnsi="楷体" w:eastAsia="仿宋_GB2312"/>
          <w:b w:val="0"/>
          <w:spacing w:val="-4"/>
          <w:sz w:val="28"/>
          <w:szCs w:val="28"/>
          <w:lang w:eastAsia="zh-CN"/>
        </w:rPr>
        <w:t>特克斯县发展和改革委员会</w:t>
      </w:r>
      <w:r>
        <w:rPr>
          <w:rStyle w:val="17"/>
          <w:rFonts w:hint="eastAsia" w:ascii="仿宋_GB2312" w:hAnsi="楷体" w:eastAsia="仿宋_GB2312"/>
          <w:b w:val="0"/>
          <w:spacing w:val="-4"/>
          <w:sz w:val="28"/>
          <w:szCs w:val="28"/>
        </w:rPr>
        <w:t>实有在职人员为</w:t>
      </w:r>
      <w:r>
        <w:rPr>
          <w:rStyle w:val="17"/>
          <w:rFonts w:hint="eastAsia" w:ascii="仿宋_GB2312" w:hAnsi="楷体" w:eastAsia="仿宋_GB2312"/>
          <w:b w:val="0"/>
          <w:spacing w:val="-4"/>
          <w:sz w:val="28"/>
          <w:szCs w:val="28"/>
          <w:lang w:val="en-US" w:eastAsia="zh-CN"/>
        </w:rPr>
        <w:t>26</w:t>
      </w:r>
      <w:r>
        <w:rPr>
          <w:rStyle w:val="17"/>
          <w:rFonts w:hint="eastAsia" w:ascii="仿宋_GB2312" w:hAnsi="楷体" w:eastAsia="仿宋_GB2312"/>
          <w:b w:val="0"/>
          <w:spacing w:val="-4"/>
          <w:sz w:val="28"/>
          <w:szCs w:val="28"/>
        </w:rPr>
        <w:t>人，其中：</w:t>
      </w:r>
    </w:p>
    <w:p>
      <w:pPr>
        <w:spacing w:line="360" w:lineRule="auto"/>
        <w:ind w:firstLine="544" w:firstLineChars="200"/>
        <w:rPr>
          <w:rStyle w:val="17"/>
          <w:rFonts w:hint="eastAsia" w:ascii="仿宋_GB2312" w:hAnsi="楷体" w:eastAsia="仿宋_GB2312"/>
          <w:b w:val="0"/>
          <w:color w:val="auto"/>
          <w:spacing w:val="-4"/>
          <w:sz w:val="28"/>
          <w:szCs w:val="28"/>
          <w:lang w:eastAsia="zh-CN"/>
        </w:rPr>
      </w:pPr>
      <w:r>
        <w:rPr>
          <w:rStyle w:val="17"/>
          <w:rFonts w:hint="eastAsia" w:ascii="仿宋_GB2312" w:hAnsi="楷体" w:eastAsia="仿宋_GB2312"/>
          <w:b w:val="0"/>
          <w:spacing w:val="-4"/>
          <w:sz w:val="28"/>
          <w:szCs w:val="28"/>
        </w:rPr>
        <w:t>行政在职</w:t>
      </w:r>
      <w:r>
        <w:rPr>
          <w:rStyle w:val="17"/>
          <w:rFonts w:hint="eastAsia" w:ascii="仿宋_GB2312" w:hAnsi="楷体" w:eastAsia="仿宋_GB2312"/>
          <w:b w:val="0"/>
          <w:spacing w:val="-4"/>
          <w:sz w:val="28"/>
          <w:szCs w:val="28"/>
          <w:lang w:val="en-US" w:eastAsia="zh-CN"/>
        </w:rPr>
        <w:t>13</w:t>
      </w:r>
      <w:r>
        <w:rPr>
          <w:rStyle w:val="17"/>
          <w:rFonts w:hint="eastAsia" w:ascii="仿宋_GB2312" w:hAnsi="楷体" w:eastAsia="仿宋_GB2312"/>
          <w:b w:val="0"/>
          <w:spacing w:val="-4"/>
          <w:sz w:val="28"/>
          <w:szCs w:val="28"/>
        </w:rPr>
        <w:t>人（上年</w:t>
      </w:r>
      <w:r>
        <w:rPr>
          <w:rStyle w:val="17"/>
          <w:rFonts w:hint="eastAsia" w:ascii="仿宋_GB2312" w:hAnsi="楷体" w:eastAsia="仿宋_GB2312"/>
          <w:b w:val="0"/>
          <w:spacing w:val="-4"/>
          <w:sz w:val="28"/>
          <w:szCs w:val="28"/>
          <w:lang w:val="en-US" w:eastAsia="zh-CN"/>
        </w:rPr>
        <w:t>14</w:t>
      </w:r>
      <w:r>
        <w:rPr>
          <w:rStyle w:val="17"/>
          <w:rFonts w:hint="eastAsia" w:ascii="仿宋_GB2312" w:hAnsi="楷体" w:eastAsia="仿宋_GB2312"/>
          <w:b w:val="0"/>
          <w:spacing w:val="-4"/>
          <w:sz w:val="28"/>
          <w:szCs w:val="28"/>
        </w:rPr>
        <w:t>人），同比上年</w:t>
      </w:r>
      <w:r>
        <w:rPr>
          <w:rStyle w:val="17"/>
          <w:rFonts w:hint="eastAsia" w:ascii="仿宋_GB2312" w:hAnsi="楷体" w:eastAsia="仿宋_GB2312"/>
          <w:b w:val="0"/>
          <w:spacing w:val="-4"/>
          <w:sz w:val="28"/>
          <w:szCs w:val="28"/>
          <w:lang w:val="en-US" w:eastAsia="zh-CN"/>
        </w:rPr>
        <w:t>减少1人</w:t>
      </w:r>
      <w:r>
        <w:rPr>
          <w:rStyle w:val="17"/>
          <w:rFonts w:hint="eastAsia" w:ascii="仿宋_GB2312" w:hAnsi="楷体" w:eastAsia="仿宋_GB2312"/>
          <w:b w:val="0"/>
          <w:color w:val="auto"/>
          <w:spacing w:val="-4"/>
          <w:sz w:val="28"/>
          <w:szCs w:val="28"/>
          <w:lang w:eastAsia="zh-CN"/>
        </w:rPr>
        <w:t>；</w:t>
      </w:r>
    </w:p>
    <w:p>
      <w:pPr>
        <w:spacing w:line="360" w:lineRule="auto"/>
        <w:ind w:firstLine="544" w:firstLineChars="200"/>
        <w:rPr>
          <w:rFonts w:hint="default"/>
          <w:lang w:val="en-US" w:eastAsia="zh-CN"/>
        </w:rPr>
      </w:pPr>
      <w:r>
        <w:rPr>
          <w:rStyle w:val="17"/>
          <w:rFonts w:hint="eastAsia" w:ascii="仿宋_GB2312" w:hAnsi="楷体" w:eastAsia="仿宋_GB2312"/>
          <w:b w:val="0"/>
          <w:color w:val="auto"/>
          <w:spacing w:val="-4"/>
          <w:sz w:val="28"/>
          <w:szCs w:val="28"/>
          <w:lang w:val="en-US" w:eastAsia="zh-CN"/>
        </w:rPr>
        <w:t>事业在职13人（上年13人），</w:t>
      </w:r>
      <w:r>
        <w:rPr>
          <w:rStyle w:val="17"/>
          <w:rFonts w:hint="eastAsia" w:ascii="仿宋_GB2312" w:hAnsi="楷体" w:eastAsia="仿宋_GB2312"/>
          <w:b w:val="0"/>
          <w:color w:val="auto"/>
          <w:spacing w:val="-4"/>
          <w:sz w:val="28"/>
          <w:szCs w:val="28"/>
        </w:rPr>
        <w:t>与上年一致</w:t>
      </w:r>
      <w:r>
        <w:rPr>
          <w:rStyle w:val="17"/>
          <w:rFonts w:hint="eastAsia" w:ascii="仿宋_GB2312" w:hAnsi="楷体" w:eastAsia="仿宋_GB2312"/>
          <w:b w:val="0"/>
          <w:color w:val="auto"/>
          <w:spacing w:val="-4"/>
          <w:sz w:val="28"/>
          <w:szCs w:val="28"/>
          <w:lang w:eastAsia="zh-CN"/>
        </w:rPr>
        <w:t>；</w:t>
      </w:r>
    </w:p>
    <w:p>
      <w:pPr>
        <w:spacing w:line="360" w:lineRule="auto"/>
        <w:ind w:firstLine="544" w:firstLineChars="200"/>
        <w:rPr>
          <w:rStyle w:val="17"/>
          <w:rFonts w:hint="eastAsia" w:ascii="仿宋_GB2312" w:hAnsi="楷体" w:eastAsia="仿宋_GB2312"/>
          <w:b w:val="0"/>
          <w:color w:val="auto"/>
          <w:spacing w:val="-4"/>
          <w:sz w:val="28"/>
          <w:szCs w:val="28"/>
          <w:lang w:eastAsia="zh-CN"/>
        </w:rPr>
      </w:pPr>
      <w:r>
        <w:rPr>
          <w:rStyle w:val="17"/>
          <w:rFonts w:hint="eastAsia" w:ascii="仿宋_GB2312" w:hAnsi="楷体" w:eastAsia="仿宋_GB2312"/>
          <w:b w:val="0"/>
          <w:color w:val="auto"/>
          <w:spacing w:val="-4"/>
          <w:sz w:val="28"/>
          <w:szCs w:val="28"/>
        </w:rPr>
        <w:t>实有离休人员</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人（上年</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7"/>
          <w:rFonts w:hint="eastAsia" w:ascii="仿宋_GB2312" w:hAnsi="楷体" w:eastAsia="仿宋_GB2312"/>
          <w:b w:val="0"/>
          <w:color w:val="auto"/>
          <w:spacing w:val="-4"/>
          <w:sz w:val="28"/>
          <w:szCs w:val="28"/>
        </w:rPr>
        <w:t>与上年一致</w:t>
      </w:r>
      <w:r>
        <w:rPr>
          <w:rStyle w:val="17"/>
          <w:rFonts w:hint="eastAsia" w:ascii="仿宋_GB2312" w:hAnsi="楷体" w:eastAsia="仿宋_GB2312"/>
          <w:b w:val="0"/>
          <w:color w:val="auto"/>
          <w:spacing w:val="-4"/>
          <w:sz w:val="28"/>
          <w:szCs w:val="28"/>
          <w:lang w:eastAsia="zh-CN"/>
        </w:rPr>
        <w:t>；</w:t>
      </w:r>
    </w:p>
    <w:p>
      <w:pPr>
        <w:spacing w:line="360" w:lineRule="auto"/>
        <w:ind w:firstLine="544" w:firstLineChars="200"/>
        <w:rPr>
          <w:rStyle w:val="17"/>
          <w:rFonts w:hint="eastAsia" w:ascii="宋体" w:hAnsi="宋体" w:eastAsia="宋体"/>
          <w:bCs w:val="0"/>
          <w:color w:val="auto"/>
          <w:spacing w:val="-4"/>
          <w:sz w:val="28"/>
          <w:szCs w:val="28"/>
          <w:lang w:eastAsia="zh-CN"/>
        </w:rPr>
      </w:pPr>
      <w:r>
        <w:rPr>
          <w:rStyle w:val="17"/>
          <w:rFonts w:hint="eastAsia" w:ascii="仿宋_GB2312" w:hAnsi="楷体" w:eastAsia="仿宋_GB2312"/>
          <w:b w:val="0"/>
          <w:color w:val="auto"/>
          <w:spacing w:val="-4"/>
          <w:sz w:val="28"/>
          <w:szCs w:val="28"/>
        </w:rPr>
        <w:t>实有退休人员</w:t>
      </w:r>
      <w:r>
        <w:rPr>
          <w:rStyle w:val="17"/>
          <w:rFonts w:hint="eastAsia" w:ascii="仿宋_GB2312" w:hAnsi="楷体" w:eastAsia="仿宋_GB2312"/>
          <w:b w:val="0"/>
          <w:color w:val="auto"/>
          <w:spacing w:val="-4"/>
          <w:sz w:val="28"/>
          <w:szCs w:val="28"/>
          <w:lang w:val="en-US" w:eastAsia="zh-CN"/>
        </w:rPr>
        <w:t>43</w:t>
      </w:r>
      <w:r>
        <w:rPr>
          <w:rStyle w:val="17"/>
          <w:rFonts w:hint="eastAsia" w:ascii="仿宋_GB2312" w:hAnsi="楷体" w:eastAsia="仿宋_GB2312"/>
          <w:b w:val="0"/>
          <w:color w:val="auto"/>
          <w:spacing w:val="-4"/>
          <w:sz w:val="28"/>
          <w:szCs w:val="28"/>
        </w:rPr>
        <w:t>人（上年</w:t>
      </w:r>
      <w:r>
        <w:rPr>
          <w:rStyle w:val="17"/>
          <w:rFonts w:hint="eastAsia" w:ascii="仿宋_GB2312" w:hAnsi="楷体" w:eastAsia="仿宋_GB2312"/>
          <w:b w:val="0"/>
          <w:color w:val="auto"/>
          <w:spacing w:val="-4"/>
          <w:sz w:val="28"/>
          <w:szCs w:val="28"/>
          <w:lang w:val="en-US" w:eastAsia="zh-CN"/>
        </w:rPr>
        <w:t>43</w:t>
      </w:r>
      <w:r>
        <w:rPr>
          <w:rStyle w:val="17"/>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7"/>
          <w:rFonts w:hint="eastAsia" w:ascii="仿宋_GB2312" w:hAnsi="楷体" w:eastAsia="仿宋_GB2312"/>
          <w:b w:val="0"/>
          <w:color w:val="auto"/>
          <w:spacing w:val="-4"/>
          <w:sz w:val="28"/>
          <w:szCs w:val="28"/>
        </w:rPr>
        <w:t>与上年一致</w:t>
      </w:r>
      <w:r>
        <w:rPr>
          <w:rStyle w:val="17"/>
          <w:rFonts w:hint="eastAsia" w:ascii="宋体" w:hAnsi="宋体" w:eastAsia="宋体"/>
          <w:bCs w:val="0"/>
          <w:color w:val="auto"/>
          <w:spacing w:val="-4"/>
          <w:sz w:val="28"/>
          <w:szCs w:val="28"/>
          <w:lang w:eastAsia="zh-CN"/>
        </w:rPr>
        <w:t>。</w:t>
      </w:r>
    </w:p>
    <w:p>
      <w:pPr>
        <w:pStyle w:val="2"/>
        <w:rPr>
          <w:rFonts w:hint="eastAsia"/>
          <w:lang w:eastAsia="zh-CN"/>
        </w:rPr>
      </w:pPr>
    </w:p>
    <w:p>
      <w:pPr>
        <w:pStyle w:val="6"/>
        <w:spacing w:line="360" w:lineRule="auto"/>
        <w:ind w:firstLine="562" w:firstLineChars="200"/>
        <w:rPr>
          <w:rStyle w:val="17"/>
          <w:rFonts w:ascii="宋体" w:hAnsi="宋体" w:eastAsia="宋体"/>
          <w:b/>
          <w:bCs/>
          <w:color w:val="FF0000"/>
          <w:spacing w:val="-4"/>
          <w:sz w:val="28"/>
          <w:szCs w:val="28"/>
        </w:rPr>
      </w:pPr>
      <w:bookmarkStart w:id="5" w:name="_Toc70450293"/>
      <w:r>
        <w:rPr>
          <w:rStyle w:val="17"/>
          <w:rFonts w:ascii="仿宋" w:hAnsi="仿宋" w:eastAsia="仿宋"/>
          <w:b/>
          <w:bCs/>
          <w:color w:val="auto"/>
        </w:rPr>
        <w:t>3</w:t>
      </w:r>
      <w:r>
        <w:rPr>
          <w:rStyle w:val="17"/>
          <w:rFonts w:hint="eastAsia" w:ascii="仿宋" w:hAnsi="仿宋" w:eastAsia="仿宋"/>
          <w:b/>
          <w:bCs/>
          <w:color w:val="auto"/>
        </w:rPr>
        <w:t>、重点工作计划</w:t>
      </w:r>
      <w:bookmarkEnd w:id="5"/>
    </w:p>
    <w:p>
      <w:pPr>
        <w:spacing w:line="360" w:lineRule="auto"/>
        <w:ind w:firstLine="544" w:firstLineChars="200"/>
        <w:rPr>
          <w:rStyle w:val="17"/>
          <w:rFonts w:hint="eastAsia" w:ascii="仿宋_GB2312" w:hAnsi="楷体" w:eastAsia="仿宋_GB2312"/>
          <w:b w:val="0"/>
          <w:color w:val="auto"/>
          <w:spacing w:val="-4"/>
          <w:sz w:val="28"/>
          <w:szCs w:val="28"/>
          <w:lang w:eastAsia="zh-CN"/>
        </w:rPr>
      </w:pPr>
      <w:r>
        <w:rPr>
          <w:rStyle w:val="17"/>
          <w:rFonts w:hint="eastAsia" w:ascii="仿宋_GB2312" w:hAnsi="楷体" w:eastAsia="仿宋_GB2312"/>
          <w:b w:val="0"/>
          <w:color w:val="auto"/>
          <w:spacing w:val="-4"/>
          <w:sz w:val="28"/>
          <w:szCs w:val="28"/>
          <w:lang w:val="en-US" w:eastAsia="zh-CN"/>
        </w:rPr>
        <w:t>1、</w:t>
      </w:r>
      <w:r>
        <w:rPr>
          <w:rStyle w:val="17"/>
          <w:rFonts w:hint="eastAsia" w:ascii="仿宋_GB2312" w:hAnsi="楷体" w:eastAsia="仿宋_GB2312"/>
          <w:b w:val="0"/>
          <w:color w:val="auto"/>
          <w:spacing w:val="-4"/>
          <w:sz w:val="28"/>
          <w:szCs w:val="28"/>
          <w:lang w:eastAsia="zh-CN"/>
        </w:rPr>
        <w:t>加强经济运行监控。认真落实县委、政府经济发展工作总体部署，科学合理提出2021年主经济指标发展计划。紧紧围绕年度目标任务，加强上下对接和左右协调，重点做好经济运行分析和政策承接落实工作。深入做好项目固定资产投资、价格、粮食、能源等重点经济领域调查研究，及时发现突出问题和困难，提出有针对性政策措施，确保主要经济指标按时间节点稳步推进。</w:t>
      </w:r>
    </w:p>
    <w:p>
      <w:pPr>
        <w:spacing w:line="360" w:lineRule="auto"/>
        <w:ind w:firstLine="544" w:firstLineChars="200"/>
        <w:rPr>
          <w:rStyle w:val="17"/>
          <w:rFonts w:hint="eastAsia" w:ascii="仿宋_GB2312" w:hAnsi="楷体" w:eastAsia="仿宋_GB2312"/>
          <w:b w:val="0"/>
          <w:color w:val="auto"/>
          <w:spacing w:val="-4"/>
          <w:sz w:val="28"/>
          <w:szCs w:val="28"/>
          <w:lang w:eastAsia="zh-CN"/>
        </w:rPr>
      </w:pPr>
      <w:r>
        <w:rPr>
          <w:rStyle w:val="17"/>
          <w:rFonts w:hint="eastAsia" w:ascii="仿宋_GB2312" w:hAnsi="楷体" w:eastAsia="仿宋_GB2312"/>
          <w:b w:val="0"/>
          <w:color w:val="auto"/>
          <w:spacing w:val="-4"/>
          <w:sz w:val="28"/>
          <w:szCs w:val="28"/>
          <w:lang w:val="en-US" w:eastAsia="zh-CN"/>
        </w:rPr>
        <w:t>2、</w:t>
      </w:r>
      <w:r>
        <w:rPr>
          <w:rStyle w:val="17"/>
          <w:rFonts w:hint="eastAsia" w:ascii="仿宋_GB2312" w:hAnsi="楷体" w:eastAsia="仿宋_GB2312"/>
          <w:b w:val="0"/>
          <w:color w:val="auto"/>
          <w:spacing w:val="-4"/>
          <w:sz w:val="28"/>
          <w:szCs w:val="28"/>
          <w:lang w:eastAsia="zh-CN"/>
        </w:rPr>
        <w:t>深入谋划项目。紧密结合特克斯县“十四五”规划和各行业专项规划，深入学习领会国家投资政策，围绕交通、社会、农经、投资、地区、产业、“一带一路建设”、环资、经贸、就业、能源、西部大开发等方面94项重点领域，力争谋划补充一批（补短板的）大项目、好项目，申报一批带头作用强、拉动能力大、示范作用广的项目，特别是培育壮大本地特色优势产业、带动农牧民增收致富的项目，形成储备一批，安排一批、建设一批、竣工一批的良性循环。同时，围绕交通基础设施、能源、农林水利、生态环保、社会事业、城乡冷链等物流基础设施、市政和产业园区基础设施、国家重大战略项目、城镇老旧小区改造等9大领域，精心准备，量力而行，谋实谋细一批地方政府专项债券项目，同步填报录入发改部门的重大项目库和财政部门的地方政府性债务管理系统库，不断加大后备项目储备能力，增强经济发展后劲。</w:t>
      </w:r>
    </w:p>
    <w:p>
      <w:pPr>
        <w:spacing w:line="360" w:lineRule="auto"/>
        <w:ind w:firstLine="544" w:firstLineChars="200"/>
        <w:rPr>
          <w:rStyle w:val="17"/>
          <w:rFonts w:hint="eastAsia" w:ascii="仿宋_GB2312" w:hAnsi="楷体" w:eastAsia="仿宋_GB2312"/>
          <w:b w:val="0"/>
          <w:color w:val="auto"/>
          <w:spacing w:val="-4"/>
          <w:sz w:val="28"/>
          <w:szCs w:val="28"/>
          <w:lang w:eastAsia="zh-CN"/>
        </w:rPr>
      </w:pPr>
      <w:r>
        <w:rPr>
          <w:rStyle w:val="17"/>
          <w:rFonts w:hint="eastAsia" w:ascii="仿宋_GB2312" w:hAnsi="楷体" w:eastAsia="仿宋_GB2312"/>
          <w:b w:val="0"/>
          <w:color w:val="auto"/>
          <w:spacing w:val="-4"/>
          <w:sz w:val="28"/>
          <w:szCs w:val="28"/>
          <w:lang w:val="en-US" w:eastAsia="zh-CN"/>
        </w:rPr>
        <w:t>3、</w:t>
      </w:r>
      <w:r>
        <w:rPr>
          <w:rStyle w:val="17"/>
          <w:rFonts w:hint="eastAsia" w:ascii="仿宋_GB2312" w:hAnsi="楷体" w:eastAsia="仿宋_GB2312"/>
          <w:b w:val="0"/>
          <w:color w:val="auto"/>
          <w:spacing w:val="-4"/>
          <w:sz w:val="28"/>
          <w:szCs w:val="28"/>
          <w:lang w:eastAsia="zh-CN"/>
        </w:rPr>
        <w:t>强化项目资金争取。坚持主动出击，深入了解国家政策，掌握项目信息，捕捉投资机遇，全力做好项目资金争取工作。2021年，我们将紧紧盯住已申报的农林水牧、社会事业、基层办公阵地、保障性安居工程、生态文明、粮食保障应急等领域内的61个中央预算内投资项目，加快修改完善重大项目库基本信息，核查补齐在线审批监管平台代码，及时提供支撑性文件资料，强化跟踪落实，加强对接跑办，力争到位资金2亿元。</w:t>
      </w:r>
    </w:p>
    <w:p>
      <w:pPr>
        <w:spacing w:line="360" w:lineRule="auto"/>
        <w:ind w:firstLine="544" w:firstLineChars="200"/>
        <w:rPr>
          <w:rStyle w:val="17"/>
          <w:rFonts w:hint="eastAsia" w:ascii="仿宋_GB2312" w:hAnsi="楷体" w:eastAsia="仿宋_GB2312"/>
          <w:b w:val="0"/>
          <w:color w:val="auto"/>
          <w:spacing w:val="-4"/>
          <w:sz w:val="28"/>
          <w:szCs w:val="28"/>
          <w:lang w:eastAsia="zh-CN"/>
        </w:rPr>
      </w:pPr>
      <w:r>
        <w:rPr>
          <w:rStyle w:val="17"/>
          <w:rFonts w:hint="eastAsia" w:ascii="仿宋_GB2312" w:hAnsi="楷体" w:eastAsia="仿宋_GB2312"/>
          <w:b w:val="0"/>
          <w:color w:val="auto"/>
          <w:spacing w:val="-4"/>
          <w:sz w:val="28"/>
          <w:szCs w:val="28"/>
          <w:lang w:val="en-US" w:eastAsia="zh-CN"/>
        </w:rPr>
        <w:t>4、</w:t>
      </w:r>
      <w:r>
        <w:rPr>
          <w:rStyle w:val="17"/>
          <w:rFonts w:hint="eastAsia" w:ascii="仿宋_GB2312" w:hAnsi="楷体" w:eastAsia="仿宋_GB2312"/>
          <w:b w:val="0"/>
          <w:color w:val="auto"/>
          <w:spacing w:val="-4"/>
          <w:sz w:val="28"/>
          <w:szCs w:val="28"/>
          <w:lang w:eastAsia="zh-CN"/>
        </w:rPr>
        <w:t>加快项目建设。将固定资产投资作为经济发展的重中之重，精准编制政府投资项目年度计划、方案，落实责任领导，建立项目清单，细化序时进度，明确投资额度，倒排工期，挂图作战，逐项落实建设条件，加快推进项目建设，实现固定资产投资持续增长。2021年计划实施固定资产投资项目46个（续建20个、新建17个、储备9个），总投资66.32亿元，计划完成投资17.78亿元。重点抓好总投资46.27亿元的14个亿元以上项目，年内计划完成投资12.08亿元。</w:t>
      </w:r>
    </w:p>
    <w:p>
      <w:pPr>
        <w:spacing w:line="360" w:lineRule="auto"/>
        <w:ind w:firstLine="544" w:firstLineChars="200"/>
        <w:rPr>
          <w:rStyle w:val="17"/>
          <w:rFonts w:hint="eastAsia" w:ascii="仿宋_GB2312" w:hAnsi="楷体" w:eastAsia="仿宋_GB2312"/>
          <w:b w:val="0"/>
          <w:color w:val="auto"/>
          <w:spacing w:val="-4"/>
          <w:sz w:val="28"/>
          <w:szCs w:val="28"/>
          <w:lang w:eastAsia="zh-CN"/>
        </w:rPr>
      </w:pPr>
      <w:r>
        <w:rPr>
          <w:rStyle w:val="17"/>
          <w:rFonts w:hint="eastAsia" w:ascii="仿宋_GB2312" w:hAnsi="楷体" w:eastAsia="仿宋_GB2312"/>
          <w:b w:val="0"/>
          <w:color w:val="auto"/>
          <w:spacing w:val="-4"/>
          <w:sz w:val="28"/>
          <w:szCs w:val="28"/>
          <w:lang w:val="en-US" w:eastAsia="zh-CN"/>
        </w:rPr>
        <w:t>5</w:t>
      </w:r>
      <w:r>
        <w:rPr>
          <w:rStyle w:val="17"/>
          <w:rFonts w:hint="eastAsia" w:ascii="仿宋_GB2312" w:hAnsi="楷体" w:eastAsia="仿宋_GB2312"/>
          <w:b w:val="0"/>
          <w:color w:val="auto"/>
          <w:spacing w:val="-4"/>
          <w:sz w:val="28"/>
          <w:szCs w:val="28"/>
          <w:lang w:eastAsia="zh-CN"/>
        </w:rPr>
        <w:t>、抓好价格管理。加强价格监测，做好重点领域价格调研，建立价格监测预警制度，完成价格预警措施，积极应对异常波动。不断强化价格综合调控，确保重要商品价格不出现大的波动，保持价格总水平基本稳定。坚决抓好民生价格管理工作，切实保障和改善民生。认真落实国家减税降费政策，确保各项惠民政策落到实处。积极稳妥推进重点领域价格改革，力促经济运行平稳。依法展价格鉴证，不断提升价格公共服务的能力和水平。</w:t>
      </w:r>
    </w:p>
    <w:p>
      <w:pPr>
        <w:spacing w:line="360" w:lineRule="auto"/>
        <w:ind w:firstLine="544" w:firstLineChars="200"/>
        <w:rPr>
          <w:rStyle w:val="17"/>
          <w:rFonts w:hint="eastAsia" w:ascii="仿宋_GB2312" w:hAnsi="楷体" w:eastAsia="仿宋_GB2312"/>
          <w:b w:val="0"/>
          <w:color w:val="auto"/>
          <w:spacing w:val="-4"/>
          <w:sz w:val="28"/>
          <w:szCs w:val="28"/>
          <w:lang w:eastAsia="zh-CN"/>
        </w:rPr>
      </w:pPr>
      <w:r>
        <w:rPr>
          <w:rStyle w:val="17"/>
          <w:rFonts w:hint="eastAsia" w:ascii="仿宋_GB2312" w:hAnsi="楷体" w:eastAsia="仿宋_GB2312"/>
          <w:b w:val="0"/>
          <w:color w:val="auto"/>
          <w:spacing w:val="-4"/>
          <w:sz w:val="28"/>
          <w:szCs w:val="28"/>
          <w:lang w:val="en-US" w:eastAsia="zh-CN"/>
        </w:rPr>
        <w:t>6、</w:t>
      </w:r>
      <w:r>
        <w:rPr>
          <w:rStyle w:val="17"/>
          <w:rFonts w:hint="eastAsia" w:ascii="仿宋_GB2312" w:hAnsi="楷体" w:eastAsia="仿宋_GB2312"/>
          <w:b w:val="0"/>
          <w:color w:val="auto"/>
          <w:spacing w:val="-4"/>
          <w:sz w:val="28"/>
          <w:szCs w:val="28"/>
          <w:lang w:eastAsia="zh-CN"/>
        </w:rPr>
        <w:t>抓好粮食物资储备。贯彻落实粮食安全县长责任制，切实抓好粮食流通领域监督检查，消除治理粮食粮食行业安全隐患，保障我县粮食行业“三个安全”持续稳定。认真做好物资储备管理工作，全力保障军粮供应安全，积极引导国有企业入市收购，全面完成粮食收购任务，加快推进粮食仓储建设，不断提高粮食流通管理能力。进一步加强粮油保供稳价监测，做好应急成品粮油政府储备和市场投放，确保粮油生活物资储备充足，价格平稳，供需有序，保障到位。</w:t>
      </w:r>
    </w:p>
    <w:p>
      <w:pPr>
        <w:spacing w:line="360" w:lineRule="auto"/>
        <w:ind w:firstLine="544" w:firstLineChars="200"/>
        <w:rPr>
          <w:rStyle w:val="17"/>
          <w:rFonts w:hint="eastAsia" w:ascii="仿宋_GB2312" w:hAnsi="楷体" w:eastAsia="仿宋_GB2312"/>
          <w:b w:val="0"/>
          <w:color w:val="auto"/>
          <w:spacing w:val="-4"/>
          <w:sz w:val="28"/>
          <w:szCs w:val="28"/>
          <w:lang w:eastAsia="zh-CN"/>
        </w:rPr>
      </w:pPr>
      <w:r>
        <w:rPr>
          <w:rStyle w:val="17"/>
          <w:rFonts w:hint="eastAsia" w:ascii="仿宋_GB2312" w:hAnsi="楷体" w:eastAsia="仿宋_GB2312"/>
          <w:b w:val="0"/>
          <w:color w:val="auto"/>
          <w:spacing w:val="-4"/>
          <w:sz w:val="28"/>
          <w:szCs w:val="28"/>
          <w:lang w:val="en-US" w:eastAsia="zh-CN"/>
        </w:rPr>
        <w:t>7、</w:t>
      </w:r>
      <w:r>
        <w:rPr>
          <w:rStyle w:val="17"/>
          <w:rFonts w:hint="eastAsia" w:ascii="仿宋_GB2312" w:hAnsi="楷体" w:eastAsia="仿宋_GB2312"/>
          <w:b w:val="0"/>
          <w:color w:val="auto"/>
          <w:spacing w:val="-4"/>
          <w:sz w:val="28"/>
          <w:szCs w:val="28"/>
          <w:lang w:eastAsia="zh-CN"/>
        </w:rPr>
        <w:t>抓好其他工作。协调做好“十三五”规划及援疆规划评估总结工作，计划投入援疆资金8530万元，扎实推进援疆项目建设。认真落实产业准入负面清单和固定资产投资节能项目节能评估制度，加快能源结构调整，强化节能降耗宣传，大力推进污染防治、生态保护、修复治理等项目建设，完成节能减排目标任务。加大丝绸之路经济带核心区建设承接落实工作，不断提升“一带一路”建设水平。加快社会信用信息共享平台建设，积极开展守信联合激励、失信联合惩戒，完善信用监管体系，营造稳定公平透明营商环境。加强结对帮扶力度，扎实推进易地扶贫搬迁后续产业发展，进一步巩固脱贫攻坚成效。加强疫情防控，落实测温、消杀、核酸检测等措施，做好生活物资保障工作。坚持党建引领，形成业务、党建工作互促互进。认真落实各项规章制度，严守政治纪律，切实抓好干部队伍作风，进一步深化党风廉政建设，有力保障发改委各项工作顺利进行。</w:t>
      </w:r>
    </w:p>
    <w:p>
      <w:pPr>
        <w:pStyle w:val="2"/>
        <w:rPr>
          <w:rFonts w:hint="eastAsia"/>
        </w:rPr>
      </w:pPr>
    </w:p>
    <w:p>
      <w:pPr>
        <w:spacing w:line="360" w:lineRule="auto"/>
        <w:ind w:firstLine="422" w:firstLineChars="200"/>
        <w:rPr>
          <w:b/>
          <w:bCs/>
        </w:rPr>
      </w:pPr>
    </w:p>
    <w:p>
      <w:pPr>
        <w:pStyle w:val="5"/>
        <w:spacing w:line="360" w:lineRule="auto"/>
        <w:rPr>
          <w:rStyle w:val="17"/>
          <w:rFonts w:ascii="仿宋" w:hAnsi="仿宋" w:eastAsia="仿宋"/>
          <w:b/>
          <w:bCs/>
          <w:sz w:val="32"/>
          <w:szCs w:val="32"/>
        </w:rPr>
      </w:pPr>
      <w:bookmarkStart w:id="6" w:name="_Toc70450294"/>
      <w:r>
        <w:rPr>
          <w:rStyle w:val="17"/>
          <w:rFonts w:hint="eastAsia" w:ascii="仿宋" w:hAnsi="仿宋" w:eastAsia="仿宋"/>
          <w:b/>
          <w:bCs/>
          <w:sz w:val="32"/>
          <w:szCs w:val="32"/>
        </w:rPr>
        <w:t>（二）部门单位整体支出规模、</w:t>
      </w:r>
      <w:bookmarkStart w:id="7" w:name="_Hlk70339807"/>
      <w:r>
        <w:rPr>
          <w:rStyle w:val="17"/>
          <w:rFonts w:hint="eastAsia" w:ascii="仿宋" w:hAnsi="仿宋" w:eastAsia="仿宋"/>
          <w:b/>
          <w:bCs/>
          <w:sz w:val="32"/>
          <w:szCs w:val="32"/>
        </w:rPr>
        <w:t>使用方法和主要内容、涉及对象及范围等</w:t>
      </w:r>
      <w:bookmarkEnd w:id="6"/>
    </w:p>
    <w:bookmarkEnd w:id="7"/>
    <w:p>
      <w:pPr>
        <w:pStyle w:val="6"/>
        <w:spacing w:line="360" w:lineRule="auto"/>
        <w:ind w:firstLine="562" w:firstLineChars="200"/>
        <w:rPr>
          <w:rStyle w:val="17"/>
          <w:rFonts w:ascii="宋体" w:hAnsi="宋体" w:eastAsia="宋体"/>
          <w:b/>
          <w:bCs/>
          <w:color w:val="FF0000"/>
          <w:spacing w:val="-4"/>
          <w:sz w:val="28"/>
          <w:szCs w:val="28"/>
        </w:rPr>
      </w:pPr>
      <w:bookmarkStart w:id="8" w:name="_Toc70450295"/>
      <w:r>
        <w:rPr>
          <w:rStyle w:val="17"/>
          <w:rFonts w:hint="eastAsia" w:ascii="仿宋" w:hAnsi="仿宋" w:eastAsia="仿宋"/>
          <w:b/>
          <w:bCs/>
        </w:rPr>
        <w:t>1、部门单位整体支出规模</w:t>
      </w:r>
      <w:bookmarkEnd w:id="8"/>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2021年批复我</w:t>
      </w:r>
      <w:r>
        <w:rPr>
          <w:rStyle w:val="17"/>
          <w:rFonts w:hint="eastAsia" w:ascii="仿宋_GB2312" w:hAnsi="楷体" w:eastAsia="仿宋_GB2312"/>
          <w:b w:val="0"/>
          <w:spacing w:val="-4"/>
          <w:sz w:val="28"/>
          <w:szCs w:val="28"/>
          <w:lang w:eastAsia="zh-CN"/>
        </w:rPr>
        <w:t>单位</w:t>
      </w:r>
      <w:r>
        <w:rPr>
          <w:rStyle w:val="17"/>
          <w:rFonts w:hint="eastAsia" w:ascii="仿宋_GB2312" w:hAnsi="楷体" w:eastAsia="仿宋_GB2312"/>
          <w:b w:val="0"/>
          <w:spacing w:val="-4"/>
          <w:sz w:val="28"/>
          <w:szCs w:val="28"/>
        </w:rPr>
        <w:t>预算为</w:t>
      </w:r>
      <w:r>
        <w:rPr>
          <w:rStyle w:val="17"/>
          <w:rFonts w:hint="eastAsia" w:ascii="仿宋_GB2312" w:hAnsi="楷体" w:eastAsia="仿宋_GB2312"/>
          <w:b w:val="0"/>
          <w:spacing w:val="-4"/>
          <w:sz w:val="28"/>
          <w:szCs w:val="28"/>
          <w:lang w:val="en-US" w:eastAsia="zh-CN"/>
        </w:rPr>
        <w:t>511.27</w:t>
      </w:r>
      <w:r>
        <w:rPr>
          <w:rStyle w:val="17"/>
          <w:rFonts w:hint="eastAsia" w:ascii="仿宋_GB2312" w:hAnsi="楷体" w:eastAsia="仿宋_GB2312"/>
          <w:b w:val="0"/>
          <w:spacing w:val="-4"/>
          <w:sz w:val="28"/>
          <w:szCs w:val="28"/>
        </w:rPr>
        <w:t>万元，其中：财政拨款为</w:t>
      </w:r>
      <w:r>
        <w:rPr>
          <w:rStyle w:val="17"/>
          <w:rFonts w:hint="eastAsia" w:ascii="仿宋_GB2312" w:hAnsi="楷体" w:eastAsia="仿宋_GB2312"/>
          <w:b w:val="0"/>
          <w:spacing w:val="-4"/>
          <w:sz w:val="28"/>
          <w:szCs w:val="28"/>
          <w:lang w:val="en-US" w:eastAsia="zh-CN"/>
        </w:rPr>
        <w:t>511.27</w:t>
      </w:r>
      <w:r>
        <w:rPr>
          <w:rStyle w:val="17"/>
          <w:rFonts w:hint="eastAsia" w:ascii="仿宋_GB2312" w:hAnsi="楷体" w:eastAsia="仿宋_GB2312"/>
          <w:b w:val="0"/>
          <w:spacing w:val="-4"/>
          <w:sz w:val="28"/>
          <w:szCs w:val="28"/>
        </w:rPr>
        <w:t>万元</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highlight w:val="none"/>
        </w:rPr>
        <w:t>年中追加资金</w:t>
      </w:r>
      <w:r>
        <w:rPr>
          <w:rStyle w:val="17"/>
          <w:rFonts w:hint="eastAsia" w:ascii="仿宋_GB2312" w:hAnsi="楷体" w:eastAsia="仿宋_GB2312"/>
          <w:b w:val="0"/>
          <w:spacing w:val="-4"/>
          <w:sz w:val="28"/>
          <w:szCs w:val="28"/>
          <w:highlight w:val="none"/>
          <w:lang w:val="en-US" w:eastAsia="zh-CN"/>
        </w:rPr>
        <w:t>233.54</w:t>
      </w:r>
      <w:r>
        <w:rPr>
          <w:rStyle w:val="17"/>
          <w:rFonts w:hint="eastAsia" w:ascii="仿宋_GB2312" w:hAnsi="楷体" w:eastAsia="仿宋_GB2312"/>
          <w:b w:val="0"/>
          <w:spacing w:val="-4"/>
          <w:sz w:val="28"/>
          <w:szCs w:val="28"/>
          <w:highlight w:val="none"/>
        </w:rPr>
        <w:t>万元，调整率</w:t>
      </w:r>
      <w:r>
        <w:rPr>
          <w:rStyle w:val="17"/>
          <w:rFonts w:hint="eastAsia" w:ascii="仿宋_GB2312" w:hAnsi="楷体" w:eastAsia="仿宋_GB2312"/>
          <w:b w:val="0"/>
          <w:spacing w:val="-4"/>
          <w:sz w:val="28"/>
          <w:szCs w:val="28"/>
          <w:highlight w:val="none"/>
          <w:lang w:val="en-US" w:eastAsia="zh-CN"/>
        </w:rPr>
        <w:t>84.09</w:t>
      </w:r>
      <w:r>
        <w:rPr>
          <w:rStyle w:val="17"/>
          <w:rFonts w:hint="eastAsia" w:ascii="仿宋_GB2312" w:hAnsi="楷体" w:eastAsia="仿宋_GB2312"/>
          <w:b w:val="0"/>
          <w:spacing w:val="-4"/>
          <w:sz w:val="28"/>
          <w:szCs w:val="28"/>
          <w:highlight w:val="none"/>
        </w:rPr>
        <w:t>%。</w:t>
      </w:r>
      <w:r>
        <w:rPr>
          <w:rStyle w:val="17"/>
          <w:rFonts w:hint="eastAsia" w:ascii="仿宋_GB2312" w:hAnsi="楷体" w:eastAsia="仿宋_GB2312"/>
          <w:b w:val="0"/>
          <w:spacing w:val="-4"/>
          <w:sz w:val="28"/>
          <w:szCs w:val="28"/>
          <w:highlight w:val="none"/>
          <w:lang w:val="en-US" w:eastAsia="zh-CN"/>
        </w:rPr>
        <w:t>上年度预算为532.42万元，</w:t>
      </w:r>
      <w:r>
        <w:rPr>
          <w:rStyle w:val="17"/>
          <w:rFonts w:hint="eastAsia" w:ascii="仿宋_GB2312" w:hAnsi="楷体" w:eastAsia="仿宋_GB2312"/>
          <w:b w:val="0"/>
          <w:spacing w:val="-4"/>
          <w:sz w:val="28"/>
          <w:szCs w:val="28"/>
        </w:rPr>
        <w:t>对比上年</w:t>
      </w:r>
      <w:r>
        <w:rPr>
          <w:rStyle w:val="17"/>
          <w:rFonts w:hint="eastAsia" w:ascii="仿宋_GB2312" w:hAnsi="楷体" w:eastAsia="仿宋_GB2312"/>
          <w:b w:val="0"/>
          <w:spacing w:val="-4"/>
          <w:sz w:val="28"/>
          <w:szCs w:val="28"/>
          <w:lang w:val="en-US" w:eastAsia="zh-CN"/>
        </w:rPr>
        <w:t>减少21.15</w:t>
      </w:r>
      <w:r>
        <w:rPr>
          <w:rStyle w:val="17"/>
          <w:rFonts w:hint="eastAsia" w:ascii="仿宋_GB2312" w:hAnsi="楷体" w:eastAsia="仿宋_GB2312"/>
          <w:b w:val="0"/>
          <w:spacing w:val="-4"/>
          <w:sz w:val="28"/>
          <w:szCs w:val="28"/>
        </w:rPr>
        <w:t>万元，下降</w:t>
      </w:r>
      <w:r>
        <w:rPr>
          <w:rStyle w:val="17"/>
          <w:rFonts w:hint="eastAsia" w:ascii="仿宋_GB2312" w:hAnsi="楷体" w:eastAsia="仿宋_GB2312"/>
          <w:b w:val="0"/>
          <w:spacing w:val="-4"/>
          <w:sz w:val="28"/>
          <w:szCs w:val="28"/>
          <w:lang w:val="en-US" w:eastAsia="zh-CN"/>
        </w:rPr>
        <w:t>3.97</w:t>
      </w:r>
      <w:r>
        <w:rPr>
          <w:rStyle w:val="17"/>
          <w:rFonts w:hint="eastAsia" w:ascii="仿宋_GB2312" w:hAnsi="楷体" w:eastAsia="仿宋_GB2312"/>
          <w:b w:val="0"/>
          <w:spacing w:val="-4"/>
          <w:sz w:val="28"/>
          <w:szCs w:val="28"/>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2021年实际决算支出</w:t>
      </w:r>
      <w:r>
        <w:rPr>
          <w:rStyle w:val="17"/>
          <w:rFonts w:hint="eastAsia" w:ascii="仿宋_GB2312" w:hAnsi="楷体" w:eastAsia="仿宋_GB2312"/>
          <w:b w:val="0"/>
          <w:spacing w:val="-4"/>
          <w:sz w:val="28"/>
          <w:szCs w:val="28"/>
          <w:lang w:val="en-US" w:eastAsia="zh-CN"/>
        </w:rPr>
        <w:t>511.27</w:t>
      </w:r>
      <w:r>
        <w:rPr>
          <w:rStyle w:val="17"/>
          <w:rFonts w:hint="eastAsia" w:ascii="仿宋_GB2312" w:hAnsi="楷体" w:eastAsia="仿宋_GB2312"/>
          <w:b w:val="0"/>
          <w:spacing w:val="-4"/>
          <w:sz w:val="28"/>
          <w:szCs w:val="28"/>
        </w:rPr>
        <w:t>万元，执行率</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%，其中：</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spacing w:val="-4"/>
          <w:sz w:val="28"/>
          <w:szCs w:val="28"/>
        </w:rPr>
        <w:t>（1）基本支出</w:t>
      </w:r>
      <w:r>
        <w:rPr>
          <w:rStyle w:val="17"/>
          <w:rFonts w:hint="eastAsia" w:ascii="仿宋_GB2312" w:hAnsi="楷体" w:eastAsia="仿宋_GB2312"/>
          <w:b w:val="0"/>
          <w:spacing w:val="-4"/>
          <w:sz w:val="28"/>
          <w:szCs w:val="28"/>
          <w:lang w:val="en-US" w:eastAsia="zh-CN"/>
        </w:rPr>
        <w:t>511.27</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％，主要用于本</w:t>
      </w:r>
      <w:r>
        <w:rPr>
          <w:rStyle w:val="17"/>
          <w:rFonts w:hint="eastAsia" w:ascii="仿宋_GB2312" w:hAnsi="楷体" w:eastAsia="仿宋_GB2312"/>
          <w:b w:val="0"/>
          <w:color w:val="auto"/>
          <w:spacing w:val="-4"/>
          <w:sz w:val="28"/>
          <w:szCs w:val="28"/>
        </w:rPr>
        <w:t>单位</w:t>
      </w:r>
      <w:r>
        <w:rPr>
          <w:rStyle w:val="17"/>
          <w:rFonts w:hint="eastAsia" w:ascii="仿宋_GB2312" w:hAnsi="楷体" w:eastAsia="仿宋_GB2312"/>
          <w:b w:val="0"/>
          <w:spacing w:val="-4"/>
          <w:sz w:val="28"/>
          <w:szCs w:val="28"/>
        </w:rPr>
        <w:t>机构正常运转、完成日常工作任务而发生的各项支出。其中：工资福利支出</w:t>
      </w:r>
      <w:r>
        <w:rPr>
          <w:rStyle w:val="17"/>
          <w:rFonts w:hint="eastAsia" w:ascii="仿宋_GB2312" w:hAnsi="楷体" w:eastAsia="仿宋_GB2312"/>
          <w:b w:val="0"/>
          <w:spacing w:val="-4"/>
          <w:sz w:val="28"/>
          <w:szCs w:val="28"/>
          <w:lang w:val="en-US" w:eastAsia="zh-CN"/>
        </w:rPr>
        <w:t>375.07</w:t>
      </w:r>
      <w:r>
        <w:rPr>
          <w:rStyle w:val="17"/>
          <w:rFonts w:hint="eastAsia" w:ascii="仿宋_GB2312" w:hAnsi="楷体" w:eastAsia="仿宋_GB2312"/>
          <w:b w:val="0"/>
          <w:spacing w:val="-4"/>
          <w:sz w:val="28"/>
          <w:szCs w:val="28"/>
        </w:rPr>
        <w:t>万元，主要用于在职和离退休人员基本工资、津贴补贴等人员经费。商品</w:t>
      </w:r>
      <w:r>
        <w:rPr>
          <w:rStyle w:val="17"/>
          <w:rFonts w:hint="eastAsia" w:ascii="仿宋_GB2312" w:hAnsi="楷体" w:eastAsia="仿宋_GB2312"/>
          <w:b w:val="0"/>
          <w:color w:val="auto"/>
          <w:spacing w:val="-4"/>
          <w:sz w:val="28"/>
          <w:szCs w:val="28"/>
        </w:rPr>
        <w:t>和服务支出</w:t>
      </w:r>
      <w:r>
        <w:rPr>
          <w:rStyle w:val="17"/>
          <w:rFonts w:hint="eastAsia" w:ascii="仿宋_GB2312" w:hAnsi="楷体" w:eastAsia="仿宋_GB2312"/>
          <w:b w:val="0"/>
          <w:color w:val="auto"/>
          <w:spacing w:val="-4"/>
          <w:sz w:val="28"/>
          <w:szCs w:val="28"/>
          <w:lang w:val="en-US" w:eastAsia="zh-CN"/>
        </w:rPr>
        <w:t>124.41</w:t>
      </w:r>
      <w:r>
        <w:rPr>
          <w:rStyle w:val="17"/>
          <w:rFonts w:hint="eastAsia" w:ascii="仿宋_GB2312" w:hAnsi="楷体" w:eastAsia="仿宋_GB2312"/>
          <w:b w:val="0"/>
          <w:color w:val="auto"/>
          <w:spacing w:val="-4"/>
          <w:sz w:val="28"/>
          <w:szCs w:val="28"/>
        </w:rPr>
        <w:t>万元，主要用于办公费、水电费、办公设备购置等。对个人和家庭的补助</w:t>
      </w:r>
      <w:r>
        <w:rPr>
          <w:rStyle w:val="17"/>
          <w:rFonts w:hint="eastAsia" w:ascii="仿宋_GB2312" w:hAnsi="楷体" w:eastAsia="仿宋_GB2312"/>
          <w:b w:val="0"/>
          <w:color w:val="auto"/>
          <w:spacing w:val="-4"/>
          <w:sz w:val="28"/>
          <w:szCs w:val="28"/>
          <w:lang w:val="en-US" w:eastAsia="zh-CN"/>
        </w:rPr>
        <w:t>11.79</w:t>
      </w:r>
      <w:r>
        <w:rPr>
          <w:rStyle w:val="17"/>
          <w:rFonts w:hint="eastAsia" w:ascii="仿宋_GB2312" w:hAnsi="楷体" w:eastAsia="仿宋_GB2312"/>
          <w:b w:val="0"/>
          <w:color w:val="auto"/>
          <w:spacing w:val="-4"/>
          <w:sz w:val="28"/>
          <w:szCs w:val="28"/>
        </w:rPr>
        <w:t>万元，主要用于</w:t>
      </w:r>
      <w:r>
        <w:rPr>
          <w:rStyle w:val="17"/>
          <w:rFonts w:hint="eastAsia" w:ascii="仿宋_GB2312" w:hAnsi="楷体" w:eastAsia="仿宋_GB2312"/>
          <w:b w:val="0"/>
          <w:color w:val="auto"/>
          <w:spacing w:val="-4"/>
          <w:sz w:val="28"/>
          <w:szCs w:val="28"/>
          <w:lang w:eastAsia="zh-CN"/>
        </w:rPr>
        <w:t>退休人员</w:t>
      </w:r>
      <w:r>
        <w:rPr>
          <w:rStyle w:val="17"/>
          <w:rFonts w:hint="eastAsia" w:ascii="仿宋_GB2312" w:hAnsi="楷体" w:eastAsia="仿宋_GB2312"/>
          <w:b w:val="0"/>
          <w:color w:val="auto"/>
          <w:spacing w:val="-4"/>
          <w:sz w:val="28"/>
          <w:szCs w:val="28"/>
        </w:rPr>
        <w:t>退休费（计生补贴）</w:t>
      </w:r>
      <w:r>
        <w:rPr>
          <w:rStyle w:val="17"/>
          <w:rFonts w:hint="eastAsia" w:ascii="仿宋_GB2312" w:hAnsi="楷体" w:eastAsia="仿宋_GB2312"/>
          <w:b w:val="0"/>
          <w:color w:val="auto"/>
          <w:spacing w:val="-4"/>
          <w:sz w:val="28"/>
          <w:szCs w:val="28"/>
          <w:lang w:eastAsia="zh-CN"/>
        </w:rPr>
        <w:t>、</w:t>
      </w:r>
      <w:r>
        <w:rPr>
          <w:rStyle w:val="17"/>
          <w:rFonts w:hint="eastAsia" w:ascii="仿宋_GB2312" w:hAnsi="楷体" w:eastAsia="仿宋_GB2312"/>
          <w:b w:val="0"/>
          <w:color w:val="auto"/>
          <w:spacing w:val="-4"/>
          <w:sz w:val="28"/>
          <w:szCs w:val="28"/>
        </w:rPr>
        <w:t>取暖费</w:t>
      </w:r>
      <w:r>
        <w:rPr>
          <w:rStyle w:val="17"/>
          <w:rFonts w:hint="eastAsia" w:ascii="仿宋_GB2312" w:hAnsi="楷体" w:eastAsia="仿宋_GB2312"/>
          <w:b w:val="0"/>
          <w:color w:val="auto"/>
          <w:spacing w:val="-4"/>
          <w:sz w:val="28"/>
          <w:szCs w:val="28"/>
          <w:lang w:eastAsia="zh-CN"/>
        </w:rPr>
        <w:t>等</w:t>
      </w:r>
      <w:r>
        <w:rPr>
          <w:rStyle w:val="17"/>
          <w:rFonts w:hint="eastAsia" w:ascii="仿宋_GB2312" w:hAnsi="楷体" w:eastAsia="仿宋_GB2312"/>
          <w:b w:val="0"/>
          <w:color w:val="auto"/>
          <w:spacing w:val="-4"/>
          <w:sz w:val="28"/>
          <w:szCs w:val="28"/>
        </w:rPr>
        <w:t xml:space="preserve">。 </w:t>
      </w:r>
      <w:r>
        <w:rPr>
          <w:rStyle w:val="17"/>
          <w:rFonts w:ascii="仿宋_GB2312" w:hAnsi="楷体" w:eastAsia="仿宋_GB2312"/>
          <w:b w:val="0"/>
          <w:color w:val="auto"/>
          <w:spacing w:val="-4"/>
          <w:sz w:val="28"/>
          <w:szCs w:val="28"/>
        </w:rPr>
        <w:t xml:space="preserve"> </w:t>
      </w:r>
    </w:p>
    <w:p>
      <w:pPr>
        <w:spacing w:line="360" w:lineRule="auto"/>
        <w:ind w:firstLine="544" w:firstLineChars="200"/>
        <w:rPr>
          <w:rStyle w:val="17"/>
          <w:rFonts w:hint="eastAsia" w:ascii="仿宋_GB2312" w:hAnsi="楷体" w:eastAsia="仿宋_GB2312"/>
          <w:b w:val="0"/>
          <w:color w:val="auto"/>
          <w:spacing w:val="-4"/>
          <w:sz w:val="28"/>
          <w:szCs w:val="28"/>
          <w:lang w:eastAsia="zh-CN"/>
        </w:rPr>
      </w:pPr>
      <w:r>
        <w:rPr>
          <w:rStyle w:val="17"/>
          <w:rFonts w:hint="eastAsia" w:ascii="仿宋_GB2312" w:hAnsi="楷体" w:eastAsia="仿宋_GB2312"/>
          <w:b w:val="0"/>
          <w:color w:val="auto"/>
          <w:spacing w:val="-4"/>
          <w:sz w:val="28"/>
          <w:szCs w:val="28"/>
        </w:rPr>
        <w:t>（</w:t>
      </w:r>
      <w:r>
        <w:rPr>
          <w:rStyle w:val="17"/>
          <w:rFonts w:ascii="仿宋_GB2312" w:hAnsi="楷体" w:eastAsia="仿宋_GB2312"/>
          <w:b w:val="0"/>
          <w:color w:val="auto"/>
          <w:spacing w:val="-4"/>
          <w:sz w:val="28"/>
          <w:szCs w:val="28"/>
        </w:rPr>
        <w:t>2</w:t>
      </w:r>
      <w:r>
        <w:rPr>
          <w:rStyle w:val="17"/>
          <w:rFonts w:hint="eastAsia" w:ascii="仿宋_GB2312" w:hAnsi="楷体" w:eastAsia="仿宋_GB2312"/>
          <w:b w:val="0"/>
          <w:color w:val="auto"/>
          <w:spacing w:val="-4"/>
          <w:sz w:val="28"/>
          <w:szCs w:val="28"/>
        </w:rPr>
        <w:t>）项目支出</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w:t>
      </w:r>
      <w:r>
        <w:rPr>
          <w:rStyle w:val="17"/>
          <w:rFonts w:hint="eastAsia" w:ascii="仿宋_GB2312" w:hAnsi="楷体" w:eastAsia="仿宋_GB2312"/>
          <w:b w:val="0"/>
          <w:spacing w:val="-4"/>
          <w:sz w:val="28"/>
          <w:szCs w:val="28"/>
        </w:rPr>
        <w:t>，占总支出的</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w:t>
      </w:r>
      <w:r>
        <w:rPr>
          <w:rStyle w:val="17"/>
          <w:rFonts w:hint="eastAsia" w:ascii="仿宋_GB2312" w:hAnsi="楷体" w:eastAsia="仿宋_GB2312"/>
          <w:b w:val="0"/>
          <w:color w:val="auto"/>
          <w:spacing w:val="-4"/>
          <w:sz w:val="28"/>
          <w:szCs w:val="28"/>
          <w:lang w:eastAsia="zh-CN"/>
        </w:rPr>
        <w:t>。</w:t>
      </w:r>
    </w:p>
    <w:p>
      <w:pPr>
        <w:spacing w:line="360" w:lineRule="auto"/>
        <w:ind w:firstLine="544" w:firstLineChars="200"/>
        <w:rPr>
          <w:rStyle w:val="17"/>
          <w:rFonts w:hint="eastAsia" w:eastAsia="仿宋_GB2312" w:asciiTheme="minorEastAsia" w:hAnsiTheme="minorEastAsia"/>
          <w:bCs w:val="0"/>
          <w:color w:val="auto"/>
          <w:spacing w:val="-4"/>
          <w:sz w:val="28"/>
          <w:szCs w:val="28"/>
          <w:lang w:eastAsia="zh-CN"/>
        </w:rPr>
      </w:pPr>
      <w:r>
        <w:rPr>
          <w:rStyle w:val="17"/>
          <w:rFonts w:hint="eastAsia" w:ascii="仿宋_GB2312" w:hAnsi="楷体" w:eastAsia="仿宋_GB2312"/>
          <w:b w:val="0"/>
          <w:color w:val="auto"/>
          <w:spacing w:val="-4"/>
          <w:sz w:val="28"/>
          <w:szCs w:val="28"/>
        </w:rPr>
        <w:t>（</w:t>
      </w:r>
      <w:r>
        <w:rPr>
          <w:rStyle w:val="17"/>
          <w:rFonts w:ascii="仿宋_GB2312" w:hAnsi="楷体" w:eastAsia="仿宋_GB2312"/>
          <w:b w:val="0"/>
          <w:color w:val="auto"/>
          <w:spacing w:val="-4"/>
          <w:sz w:val="28"/>
          <w:szCs w:val="28"/>
        </w:rPr>
        <w:t>3</w:t>
      </w:r>
      <w:r>
        <w:rPr>
          <w:rStyle w:val="17"/>
          <w:rFonts w:hint="eastAsia" w:ascii="仿宋_GB2312" w:hAnsi="楷体" w:eastAsia="仿宋_GB2312"/>
          <w:b w:val="0"/>
          <w:color w:val="auto"/>
          <w:spacing w:val="-4"/>
          <w:sz w:val="28"/>
          <w:szCs w:val="28"/>
        </w:rPr>
        <w:t>）本年度重点项目支出</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万元</w:t>
      </w:r>
      <w:r>
        <w:rPr>
          <w:rStyle w:val="17"/>
          <w:rFonts w:hint="eastAsia" w:ascii="仿宋_GB2312" w:hAnsi="楷体" w:eastAsia="仿宋_GB2312"/>
          <w:b w:val="0"/>
          <w:spacing w:val="-4"/>
          <w:sz w:val="28"/>
          <w:szCs w:val="28"/>
        </w:rPr>
        <w:t>，重点支出保障率</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w:t>
      </w:r>
      <w:r>
        <w:rPr>
          <w:rStyle w:val="17"/>
          <w:rFonts w:hint="eastAsia" w:ascii="仿宋_GB2312" w:hAnsi="楷体" w:eastAsia="仿宋_GB2312"/>
          <w:b w:val="0"/>
          <w:color w:val="auto"/>
          <w:spacing w:val="-4"/>
          <w:sz w:val="28"/>
          <w:szCs w:val="28"/>
          <w:lang w:eastAsia="zh-CN"/>
        </w:rPr>
        <w:t>。</w:t>
      </w:r>
    </w:p>
    <w:p>
      <w:pPr>
        <w:spacing w:line="360" w:lineRule="auto"/>
        <w:ind w:firstLine="544" w:firstLineChars="200"/>
        <w:rPr>
          <w:rStyle w:val="17"/>
          <w:rFonts w:hint="eastAsia" w:ascii="仿宋_GB2312" w:hAnsi="楷体" w:eastAsia="仿宋_GB2312"/>
          <w:b w:val="0"/>
          <w:bCs w:val="0"/>
          <w:color w:val="auto"/>
          <w:spacing w:val="-4"/>
          <w:sz w:val="28"/>
          <w:szCs w:val="28"/>
          <w:lang w:eastAsia="zh-CN"/>
        </w:rPr>
      </w:pPr>
      <w:r>
        <w:rPr>
          <w:rStyle w:val="17"/>
          <w:rFonts w:hint="eastAsia" w:ascii="仿宋_GB2312" w:hAnsi="楷体" w:eastAsia="仿宋_GB2312"/>
          <w:b w:val="0"/>
          <w:color w:val="auto"/>
          <w:spacing w:val="-4"/>
          <w:sz w:val="28"/>
          <w:szCs w:val="28"/>
        </w:rPr>
        <w:t>（4）</w:t>
      </w:r>
      <w:r>
        <w:rPr>
          <w:rStyle w:val="17"/>
          <w:rFonts w:hint="eastAsia" w:ascii="仿宋_GB2312" w:hAnsi="楷体" w:eastAsia="仿宋_GB2312"/>
          <w:b w:val="0"/>
          <w:bCs w:val="0"/>
          <w:color w:val="auto"/>
          <w:spacing w:val="-4"/>
          <w:sz w:val="28"/>
          <w:szCs w:val="28"/>
        </w:rPr>
        <w:t>本年度我单位无政府采购预算</w:t>
      </w:r>
      <w:r>
        <w:rPr>
          <w:rStyle w:val="17"/>
          <w:rFonts w:hint="eastAsia" w:ascii="仿宋_GB2312" w:hAnsi="楷体" w:eastAsia="仿宋_GB2312"/>
          <w:b w:val="0"/>
          <w:bCs w:val="0"/>
          <w:color w:val="auto"/>
          <w:spacing w:val="-4"/>
          <w:sz w:val="28"/>
          <w:szCs w:val="28"/>
          <w:lang w:eastAsia="zh-CN"/>
        </w:rPr>
        <w:t>。</w:t>
      </w:r>
    </w:p>
    <w:p>
      <w:pPr>
        <w:pStyle w:val="2"/>
        <w:rPr>
          <w:rFonts w:hint="eastAsia"/>
          <w:lang w:eastAsia="zh-CN"/>
        </w:rPr>
      </w:pPr>
    </w:p>
    <w:p>
      <w:pPr>
        <w:pStyle w:val="6"/>
        <w:spacing w:line="360" w:lineRule="auto"/>
        <w:ind w:firstLine="562" w:firstLineChars="200"/>
        <w:rPr>
          <w:rStyle w:val="17"/>
          <w:rFonts w:ascii="仿宋" w:hAnsi="仿宋" w:eastAsia="仿宋"/>
          <w:b/>
          <w:bCs/>
        </w:rPr>
      </w:pPr>
      <w:bookmarkStart w:id="9" w:name="_Toc70450296"/>
      <w:r>
        <w:rPr>
          <w:rStyle w:val="17"/>
          <w:rFonts w:ascii="仿宋" w:hAnsi="仿宋" w:eastAsia="仿宋"/>
          <w:b/>
          <w:bCs/>
        </w:rPr>
        <w:t>2</w:t>
      </w:r>
      <w:r>
        <w:rPr>
          <w:rStyle w:val="17"/>
          <w:rFonts w:hint="eastAsia" w:ascii="仿宋" w:hAnsi="仿宋" w:eastAsia="仿宋"/>
          <w:b/>
          <w:bCs/>
        </w:rPr>
        <w:t>、整体支出评价使用方法和主要内容、涉及对象及范围等</w:t>
      </w:r>
      <w:bookmarkEnd w:id="9"/>
    </w:p>
    <w:p>
      <w:pPr>
        <w:spacing w:line="360" w:lineRule="auto"/>
        <w:ind w:firstLine="560" w:firstLineChars="200"/>
        <w:rPr>
          <w:rStyle w:val="17"/>
          <w:rFonts w:hint="eastAsia" w:ascii="仿宋_GB2312" w:hAnsi="Times New Roman" w:eastAsia="仿宋_GB2312" w:cs="Times New Roman"/>
          <w:b w:val="0"/>
          <w:bCs w:val="0"/>
          <w:color w:val="FF0000"/>
          <w:sz w:val="28"/>
          <w:szCs w:val="36"/>
          <w:lang w:eastAsia="zh-CN"/>
        </w:rPr>
      </w:pPr>
      <w:r>
        <w:rPr>
          <w:rFonts w:hint="eastAsia" w:ascii="仿宋_GB2312" w:eastAsia="仿宋_GB2312"/>
          <w:sz w:val="28"/>
          <w:szCs w:val="36"/>
        </w:rPr>
        <w:t>（1）</w:t>
      </w:r>
      <w:r>
        <w:rPr>
          <w:rStyle w:val="17"/>
          <w:rFonts w:hint="eastAsia" w:ascii="仿宋_GB2312" w:eastAsia="仿宋_GB2312"/>
          <w:b w:val="0"/>
          <w:bCs w:val="0"/>
          <w:sz w:val="28"/>
          <w:szCs w:val="36"/>
        </w:rPr>
        <w:t>整体支出评价使用方法</w:t>
      </w:r>
      <w:r>
        <w:rPr>
          <w:rStyle w:val="17"/>
          <w:rFonts w:hint="eastAsia" w:asciiTheme="minorEastAsia" w:hAnsiTheme="minorEastAsia"/>
          <w:color w:val="FF0000"/>
          <w:sz w:val="28"/>
          <w:szCs w:val="36"/>
        </w:rPr>
        <w:t xml:space="preserve"> </w:t>
      </w:r>
      <w:r>
        <w:rPr>
          <w:rStyle w:val="17"/>
          <w:rFonts w:hint="eastAsia" w:ascii="仿宋_GB2312" w:hAnsi="Times New Roman" w:eastAsia="仿宋_GB2312" w:cs="Times New Roman"/>
          <w:b w:val="0"/>
          <w:bCs w:val="0"/>
          <w:color w:val="FF0000"/>
          <w:sz w:val="28"/>
          <w:szCs w:val="36"/>
          <w:lang w:eastAsia="zh-CN"/>
        </w:rPr>
        <w:t xml:space="preserve"> </w:t>
      </w:r>
    </w:p>
    <w:p>
      <w:pPr>
        <w:spacing w:line="360" w:lineRule="auto"/>
        <w:ind w:firstLine="560" w:firstLineChars="200"/>
        <w:rPr>
          <w:rStyle w:val="17"/>
          <w:rFonts w:ascii="仿宋_GB2312" w:eastAsia="仿宋_GB2312"/>
          <w:b w:val="0"/>
          <w:bCs w:val="0"/>
          <w:color w:val="FF0000"/>
          <w:sz w:val="28"/>
          <w:szCs w:val="28"/>
        </w:rPr>
      </w:pPr>
      <w:r>
        <w:rPr>
          <w:rStyle w:val="17"/>
          <w:rFonts w:hint="eastAsia" w:ascii="仿宋_GB2312" w:hAnsi="Times New Roman" w:eastAsia="仿宋_GB2312" w:cs="Times New Roman"/>
          <w:b w:val="0"/>
          <w:bCs w:val="0"/>
          <w:color w:val="auto"/>
          <w:sz w:val="28"/>
          <w:szCs w:val="36"/>
          <w:lang w:eastAsia="zh-CN"/>
        </w:rPr>
        <w:t>本次整体支出绩效自评我单位采用的是因素分析法，</w:t>
      </w:r>
      <w:r>
        <w:rPr>
          <w:rStyle w:val="17"/>
          <w:rFonts w:hint="eastAsia" w:ascii="仿宋_GB2312" w:eastAsia="仿宋_GB2312"/>
          <w:b w:val="0"/>
          <w:bCs w:val="0"/>
          <w:color w:val="auto"/>
          <w:sz w:val="28"/>
          <w:szCs w:val="36"/>
        </w:rPr>
        <w:t>原因是：</w:t>
      </w:r>
      <w:r>
        <w:rPr>
          <w:rFonts w:hint="eastAsia" w:ascii="仿宋_GB2312" w:hAnsi="仿宋_GB2312" w:eastAsia="仿宋_GB2312" w:cs="仿宋_GB2312"/>
          <w:color w:val="auto"/>
          <w:sz w:val="28"/>
          <w:szCs w:val="28"/>
          <w:lang w:eastAsia="zh-CN"/>
        </w:rPr>
        <w:t>我</w:t>
      </w:r>
      <w:r>
        <w:rPr>
          <w:rFonts w:hint="eastAsia" w:ascii="仿宋_GB2312" w:hAnsi="仿宋_GB2312" w:eastAsia="仿宋_GB2312" w:cs="仿宋_GB2312"/>
          <w:color w:val="auto"/>
          <w:sz w:val="28"/>
          <w:szCs w:val="28"/>
        </w:rPr>
        <w:t>单位为全方位、全过程、全覆盖</w:t>
      </w:r>
      <w:r>
        <w:rPr>
          <w:rFonts w:hint="eastAsia" w:ascii="仿宋_GB2312" w:hAnsi="仿宋_GB2312" w:eastAsia="仿宋_GB2312" w:cs="仿宋_GB2312"/>
          <w:sz w:val="28"/>
          <w:szCs w:val="28"/>
          <w:lang w:eastAsia="zh-CN"/>
        </w:rPr>
        <w:t>落实整体支出</w:t>
      </w:r>
      <w:r>
        <w:rPr>
          <w:rFonts w:hint="eastAsia" w:ascii="仿宋_GB2312" w:hAnsi="仿宋_GB2312" w:eastAsia="仿宋_GB2312" w:cs="仿宋_GB2312"/>
          <w:sz w:val="28"/>
          <w:szCs w:val="28"/>
        </w:rPr>
        <w:t>绩效管理要求，</w:t>
      </w:r>
      <w:r>
        <w:rPr>
          <w:rFonts w:hint="eastAsia" w:ascii="仿宋_GB2312" w:hAnsi="仿宋_GB2312" w:eastAsia="仿宋_GB2312" w:cs="仿宋_GB2312"/>
          <w:sz w:val="28"/>
          <w:szCs w:val="28"/>
          <w:lang w:eastAsia="zh-CN"/>
        </w:rPr>
        <w:t>将</w:t>
      </w:r>
      <w:r>
        <w:rPr>
          <w:rFonts w:hint="eastAsia" w:ascii="仿宋_GB2312" w:hAnsi="仿宋_GB2312" w:eastAsia="仿宋_GB2312" w:cs="仿宋_GB2312"/>
          <w:sz w:val="28"/>
          <w:szCs w:val="28"/>
        </w:rPr>
        <w:t>整体支出纳入全过程绩效管理，进一步强化绩效理念，提高财政资金使用效益。</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w:t>
      </w:r>
      <w:r>
        <w:rPr>
          <w:rFonts w:hint="eastAsia" w:ascii="仿宋_GB2312" w:eastAsia="仿宋_GB2312"/>
          <w:sz w:val="28"/>
          <w:szCs w:val="36"/>
          <w:lang w:eastAsia="zh-CN"/>
        </w:rPr>
        <w:t>，</w:t>
      </w:r>
      <w:r>
        <w:rPr>
          <w:rFonts w:hint="eastAsia" w:ascii="仿宋_GB2312" w:eastAsia="仿宋_GB2312"/>
          <w:sz w:val="28"/>
          <w:szCs w:val="36"/>
        </w:rPr>
        <w:t>包括项目管理制度、财务管理制度、资产管理制度和绩效跟踪管理措施等。</w:t>
      </w:r>
    </w:p>
    <w:p>
      <w:pPr>
        <w:spacing w:line="360" w:lineRule="auto"/>
        <w:ind w:firstLine="560" w:firstLineChars="200"/>
        <w:rPr>
          <w:rStyle w:val="17"/>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（3）整体支出评价涉及对象及范围</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特克斯县发展和改革委员会</w:t>
      </w:r>
      <w:r>
        <w:rPr>
          <w:rFonts w:hint="eastAsia" w:ascii="仿宋_GB2312" w:eastAsia="仿宋_GB2312"/>
          <w:sz w:val="28"/>
          <w:szCs w:val="36"/>
        </w:rPr>
        <w:t>所有财政资金支出活动。</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整体支出评价范围：</w:t>
      </w:r>
    </w:p>
    <w:p>
      <w:pPr>
        <w:spacing w:line="360" w:lineRule="auto"/>
        <w:ind w:firstLine="544" w:firstLineChars="200"/>
        <w:rPr>
          <w:rStyle w:val="17"/>
          <w:rFonts w:hint="default" w:ascii="仿宋_GB2312" w:hAnsi="楷体" w:eastAsia="仿宋_GB2312"/>
          <w:b w:val="0"/>
          <w:spacing w:val="-4"/>
          <w:sz w:val="28"/>
          <w:szCs w:val="28"/>
          <w:lang w:val="en-US" w:eastAsia="zh-CN"/>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1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①</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基本支出</w:t>
      </w:r>
      <w:r>
        <w:rPr>
          <w:rStyle w:val="17"/>
          <w:rFonts w:hint="eastAsia" w:ascii="仿宋_GB2312" w:hAnsi="楷体" w:eastAsia="仿宋_GB2312"/>
          <w:b w:val="0"/>
          <w:spacing w:val="-4"/>
          <w:sz w:val="28"/>
          <w:szCs w:val="28"/>
          <w:lang w:val="en-US" w:eastAsia="zh-CN"/>
        </w:rPr>
        <w:t>511.27</w:t>
      </w:r>
      <w:r>
        <w:rPr>
          <w:rStyle w:val="17"/>
          <w:rFonts w:hint="eastAsia" w:ascii="仿宋_GB2312" w:hAnsi="楷体" w:eastAsia="仿宋_GB2312"/>
          <w:b w:val="0"/>
          <w:spacing w:val="-4"/>
          <w:sz w:val="28"/>
          <w:szCs w:val="28"/>
        </w:rPr>
        <w:t>万元，其中：工资福利支出、商品和服务支出、对个人和家庭的补助支出</w:t>
      </w:r>
      <w:r>
        <w:rPr>
          <w:rStyle w:val="17"/>
          <w:rFonts w:hint="eastAsia" w:ascii="仿宋_GB2312" w:hAnsi="楷体" w:eastAsia="仿宋_GB2312"/>
          <w:b w:val="0"/>
          <w:spacing w:val="-4"/>
          <w:sz w:val="28"/>
          <w:szCs w:val="28"/>
          <w:lang w:val="en-US" w:eastAsia="zh-CN"/>
        </w:rPr>
        <w:t>。</w:t>
      </w:r>
    </w:p>
    <w:p>
      <w:pPr>
        <w:spacing w:line="360" w:lineRule="auto"/>
        <w:ind w:firstLine="492" w:firstLineChars="181"/>
        <w:rPr>
          <w:rStyle w:val="17"/>
          <w:rFonts w:hint="eastAsia" w:ascii="仿宋_GB2312" w:hAnsi="楷体" w:eastAsia="仿宋_GB2312"/>
          <w:b w:val="0"/>
          <w:spacing w:val="-4"/>
          <w:sz w:val="28"/>
          <w:szCs w:val="28"/>
          <w:lang w:eastAsia="zh-CN"/>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2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②</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项目支出</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w:t>
      </w:r>
      <w:r>
        <w:rPr>
          <w:rStyle w:val="17"/>
          <w:rFonts w:hint="eastAsia" w:ascii="仿宋_GB2312" w:hAnsi="楷体" w:eastAsia="仿宋_GB2312"/>
          <w:b w:val="0"/>
          <w:spacing w:val="-4"/>
          <w:sz w:val="28"/>
          <w:szCs w:val="28"/>
          <w:lang w:eastAsia="zh-CN"/>
        </w:rPr>
        <w:t>。</w:t>
      </w:r>
    </w:p>
    <w:p>
      <w:pPr>
        <w:spacing w:line="360" w:lineRule="auto"/>
        <w:ind w:firstLine="544" w:firstLineChars="200"/>
        <w:rPr>
          <w:rStyle w:val="17"/>
          <w:rFonts w:ascii="仿宋_GB2312" w:hAnsi="楷体" w:eastAsia="仿宋_GB2312"/>
          <w:b w:val="0"/>
          <w:spacing w:val="-4"/>
          <w:sz w:val="28"/>
          <w:szCs w:val="28"/>
        </w:rPr>
      </w:pPr>
    </w:p>
    <w:p>
      <w:pPr>
        <w:pStyle w:val="4"/>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5"/>
        <w:spacing w:line="360" w:lineRule="auto"/>
        <w:rPr>
          <w:rStyle w:val="17"/>
          <w:rFonts w:ascii="仿宋" w:hAnsi="仿宋" w:eastAsia="仿宋"/>
          <w:b/>
          <w:bCs/>
        </w:rPr>
      </w:pPr>
      <w:bookmarkStart w:id="11" w:name="_Toc70450298"/>
      <w:r>
        <w:rPr>
          <w:rStyle w:val="17"/>
          <w:rFonts w:hint="eastAsia" w:ascii="仿宋" w:hAnsi="仿宋" w:eastAsia="仿宋"/>
          <w:b/>
          <w:bCs/>
        </w:rPr>
        <w:t>（一）预算管理</w:t>
      </w:r>
      <w:bookmarkEnd w:id="11"/>
    </w:p>
    <w:p>
      <w:pPr>
        <w:pStyle w:val="6"/>
        <w:spacing w:line="360" w:lineRule="auto"/>
        <w:ind w:firstLine="562" w:firstLineChars="200"/>
        <w:rPr>
          <w:rStyle w:val="17"/>
          <w:rFonts w:ascii="仿宋" w:hAnsi="仿宋" w:eastAsia="仿宋"/>
          <w:b/>
          <w:bCs/>
        </w:rPr>
      </w:pPr>
      <w:bookmarkStart w:id="12" w:name="_Toc70450299"/>
      <w:r>
        <w:rPr>
          <w:rStyle w:val="17"/>
          <w:rFonts w:ascii="仿宋" w:hAnsi="仿宋" w:eastAsia="仿宋"/>
          <w:b/>
          <w:bCs/>
        </w:rPr>
        <w:t>1</w:t>
      </w:r>
      <w:r>
        <w:rPr>
          <w:rStyle w:val="17"/>
          <w:rFonts w:hint="eastAsia" w:ascii="仿宋" w:hAnsi="仿宋" w:eastAsia="仿宋"/>
          <w:b/>
          <w:bCs/>
        </w:rPr>
        <w:t>、预算编制管理</w:t>
      </w:r>
      <w:bookmarkEnd w:id="12"/>
    </w:p>
    <w:p>
      <w:pPr>
        <w:spacing w:line="360" w:lineRule="auto"/>
        <w:ind w:firstLine="506" w:firstLineChars="181"/>
        <w:rPr>
          <w:rStyle w:val="17"/>
          <w:rFonts w:hint="eastAsia" w:eastAsia="仿宋_GB2312" w:asciiTheme="minorEastAsia" w:hAnsiTheme="minorEastAsia"/>
          <w:color w:val="FF0000"/>
          <w:spacing w:val="-4"/>
          <w:sz w:val="28"/>
          <w:szCs w:val="28"/>
          <w:lang w:eastAsia="zh-CN"/>
        </w:rPr>
      </w:pPr>
      <w:r>
        <w:rPr>
          <w:rFonts w:hint="eastAsia" w:ascii="仿宋_GB2312" w:eastAsia="仿宋_GB2312"/>
          <w:sz w:val="28"/>
          <w:szCs w:val="36"/>
        </w:rPr>
        <w:t>我</w:t>
      </w:r>
      <w:r>
        <w:rPr>
          <w:rStyle w:val="17"/>
          <w:rFonts w:hint="eastAsia" w:ascii="仿宋_GB2312" w:hAnsi="楷体" w:eastAsia="仿宋_GB2312"/>
          <w:b w:val="0"/>
          <w:spacing w:val="-4"/>
          <w:sz w:val="28"/>
          <w:szCs w:val="28"/>
          <w:lang w:eastAsia="zh-CN"/>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财政局</w:t>
      </w:r>
      <w:r>
        <w:rPr>
          <w:rFonts w:hint="eastAsia" w:ascii="仿宋_GB2312" w:eastAsia="仿宋_GB2312"/>
          <w:sz w:val="28"/>
          <w:szCs w:val="36"/>
        </w:rPr>
        <w:t>要求，</w:t>
      </w:r>
      <w:r>
        <w:rPr>
          <w:rFonts w:hint="eastAsia" w:ascii="仿宋_GB2312" w:eastAsia="仿宋_GB2312"/>
          <w:sz w:val="28"/>
          <w:szCs w:val="36"/>
          <w:lang w:eastAsia="zh-CN"/>
        </w:rPr>
        <w:t>做好</w:t>
      </w:r>
      <w:r>
        <w:rPr>
          <w:rFonts w:hint="eastAsia" w:ascii="仿宋_GB2312" w:eastAsia="仿宋_GB2312"/>
          <w:sz w:val="28"/>
          <w:szCs w:val="36"/>
        </w:rPr>
        <w:t>部门预算及绩效目标在</w:t>
      </w:r>
      <w:r>
        <w:rPr>
          <w:rFonts w:hint="eastAsia" w:ascii="仿宋_GB2312" w:eastAsia="仿宋_GB2312"/>
          <w:sz w:val="28"/>
          <w:szCs w:val="36"/>
          <w:lang w:eastAsia="zh-CN"/>
        </w:rPr>
        <w:t>特克斯县人民政府网</w:t>
      </w:r>
      <w:r>
        <w:rPr>
          <w:rFonts w:hint="eastAsia" w:ascii="仿宋_GB2312" w:eastAsia="仿宋_GB2312"/>
          <w:sz w:val="28"/>
          <w:szCs w:val="36"/>
        </w:rPr>
        <w:t>公开，</w:t>
      </w:r>
      <w:r>
        <w:rPr>
          <w:rFonts w:ascii="仿宋_GB2312" w:eastAsia="仿宋_GB2312"/>
          <w:sz w:val="28"/>
          <w:szCs w:val="36"/>
          <w:lang w:val="zh-CN"/>
        </w:rPr>
        <w:t>广泛接受社</w:t>
      </w:r>
      <w:r>
        <w:rPr>
          <w:rFonts w:ascii="仿宋_GB2312" w:eastAsia="仿宋_GB2312"/>
          <w:color w:val="auto"/>
          <w:sz w:val="28"/>
          <w:szCs w:val="36"/>
          <w:lang w:val="zh-CN"/>
        </w:rPr>
        <w:t>会监督</w:t>
      </w:r>
      <w:r>
        <w:rPr>
          <w:rStyle w:val="17"/>
          <w:rFonts w:hint="eastAsia" w:eastAsia="仿宋_GB2312" w:asciiTheme="minorEastAsia" w:hAnsiTheme="minorEastAsia"/>
          <w:color w:val="auto"/>
          <w:spacing w:val="-4"/>
          <w:sz w:val="28"/>
          <w:szCs w:val="28"/>
          <w:lang w:eastAsia="zh-CN"/>
        </w:rPr>
        <w:t>。</w:t>
      </w:r>
    </w:p>
    <w:p>
      <w:pPr>
        <w:pStyle w:val="6"/>
        <w:spacing w:line="360" w:lineRule="auto"/>
        <w:ind w:firstLine="562" w:firstLineChars="200"/>
        <w:rPr>
          <w:rStyle w:val="17"/>
          <w:rFonts w:ascii="仿宋" w:hAnsi="仿宋" w:eastAsia="仿宋"/>
          <w:b/>
          <w:bCs/>
        </w:rPr>
      </w:pPr>
      <w:bookmarkStart w:id="13" w:name="_Toc70450300"/>
      <w:r>
        <w:rPr>
          <w:rStyle w:val="17"/>
          <w:rFonts w:hint="eastAsia" w:ascii="仿宋" w:hAnsi="仿宋" w:eastAsia="仿宋"/>
          <w:b/>
          <w:bCs/>
        </w:rPr>
        <w:t>2</w:t>
      </w:r>
      <w:r>
        <w:rPr>
          <w:rStyle w:val="17"/>
          <w:rFonts w:ascii="仿宋" w:hAnsi="仿宋" w:eastAsia="仿宋"/>
          <w:b/>
          <w:bCs/>
        </w:rPr>
        <w:t>、预算</w:t>
      </w:r>
      <w:r>
        <w:rPr>
          <w:rStyle w:val="17"/>
          <w:rFonts w:hint="eastAsia" w:ascii="仿宋" w:hAnsi="仿宋" w:eastAsia="仿宋"/>
          <w:b/>
          <w:bCs/>
        </w:rPr>
        <w:t>支出</w:t>
      </w:r>
      <w:r>
        <w:rPr>
          <w:rStyle w:val="17"/>
          <w:rFonts w:ascii="仿宋" w:hAnsi="仿宋" w:eastAsia="仿宋"/>
          <w:b/>
          <w:bCs/>
        </w:rPr>
        <w:t>管理</w:t>
      </w:r>
      <w:bookmarkEnd w:id="13"/>
    </w:p>
    <w:p>
      <w:pPr>
        <w:spacing w:line="360" w:lineRule="auto"/>
        <w:ind w:firstLine="560" w:firstLineChars="200"/>
        <w:rPr>
          <w:rStyle w:val="17"/>
          <w:rFonts w:asciiTheme="minorEastAsia" w:hAnsiTheme="minorEastAsia"/>
          <w:color w:val="FF0000"/>
          <w:spacing w:val="-4"/>
          <w:sz w:val="28"/>
          <w:szCs w:val="28"/>
        </w:rPr>
      </w:pPr>
      <w:r>
        <w:rPr>
          <w:rFonts w:hint="eastAsia" w:ascii="仿宋_GB2312" w:eastAsia="仿宋_GB2312"/>
          <w:sz w:val="28"/>
          <w:szCs w:val="36"/>
          <w:lang w:eastAsia="zh-CN"/>
        </w:rPr>
        <w:t>我单位</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_GB2312" w:eastAsia="仿宋_GB2312"/>
          <w:sz w:val="28"/>
          <w:szCs w:val="36"/>
          <w:lang w:eastAsia="zh-CN"/>
        </w:rPr>
        <w:t>财政的</w:t>
      </w:r>
      <w:r>
        <w:rPr>
          <w:rFonts w:hint="eastAsia" w:ascii="仿宋_GB2312" w:eastAsia="仿宋_GB2312"/>
          <w:sz w:val="28"/>
          <w:szCs w:val="36"/>
        </w:rPr>
        <w:t>相关规定和</w:t>
      </w:r>
      <w:r>
        <w:rPr>
          <w:rFonts w:hint="eastAsia" w:ascii="仿宋_GB2312" w:eastAsia="仿宋_GB2312"/>
          <w:sz w:val="28"/>
          <w:szCs w:val="36"/>
          <w:lang w:eastAsia="zh-CN"/>
        </w:rPr>
        <w:t>我单位资金使用</w:t>
      </w:r>
      <w:r>
        <w:rPr>
          <w:rFonts w:hint="eastAsia" w:ascii="仿宋_GB2312" w:eastAsia="仿宋_GB2312"/>
          <w:sz w:val="28"/>
          <w:szCs w:val="36"/>
        </w:rPr>
        <w:t>规定流程，资金支出按照我</w:t>
      </w:r>
      <w:r>
        <w:rPr>
          <w:rFonts w:hint="eastAsia" w:ascii="仿宋_GB2312" w:eastAsia="仿宋_GB2312"/>
          <w:sz w:val="28"/>
          <w:szCs w:val="36"/>
          <w:lang w:eastAsia="zh-CN"/>
        </w:rPr>
        <w:t>单位</w:t>
      </w:r>
      <w:r>
        <w:rPr>
          <w:rFonts w:hint="eastAsia" w:ascii="仿宋_GB2312" w:eastAsia="仿宋_GB2312"/>
          <w:sz w:val="28"/>
          <w:szCs w:val="36"/>
        </w:rPr>
        <w:t>内控体系中设定的流程申报审批进行；项目支出属于政府采购的，按照《</w:t>
      </w:r>
      <w:r>
        <w:rPr>
          <w:rFonts w:hint="eastAsia" w:ascii="仿宋_GB2312" w:eastAsia="仿宋_GB2312"/>
          <w:sz w:val="28"/>
          <w:szCs w:val="36"/>
          <w:lang w:eastAsia="zh-CN"/>
        </w:rPr>
        <w:t>政府</w:t>
      </w:r>
      <w:r>
        <w:rPr>
          <w:rFonts w:hint="eastAsia" w:ascii="仿宋_GB2312" w:eastAsia="仿宋_GB2312"/>
          <w:sz w:val="28"/>
          <w:szCs w:val="36"/>
        </w:rPr>
        <w:t>采购与招标管理办法》组织人员制定采购计划，按照</w:t>
      </w:r>
      <w:r>
        <w:rPr>
          <w:rFonts w:hint="eastAsia" w:ascii="仿宋_GB2312" w:eastAsia="仿宋_GB2312"/>
          <w:sz w:val="28"/>
          <w:szCs w:val="36"/>
          <w:lang w:eastAsia="zh-CN"/>
        </w:rPr>
        <w:t>县</w:t>
      </w:r>
      <w:r>
        <w:rPr>
          <w:rFonts w:hint="eastAsia" w:ascii="仿宋_GB2312" w:eastAsia="仿宋_GB2312"/>
          <w:sz w:val="28"/>
          <w:szCs w:val="36"/>
        </w:rPr>
        <w:t>财政局采购部门批复，进行公开招标、邀请招标等方式进行；属于非政府采购的项目，按照“三重一大”制度规定，重大项目支出上党组会研究决定。</w:t>
      </w:r>
    </w:p>
    <w:p>
      <w:pPr>
        <w:pStyle w:val="5"/>
        <w:spacing w:line="360" w:lineRule="auto"/>
        <w:rPr>
          <w:rStyle w:val="17"/>
          <w:rFonts w:hint="eastAsia" w:ascii="仿宋" w:hAnsi="仿宋" w:eastAsia="仿宋" w:cs="Times New Roman"/>
          <w:b/>
          <w:bCs/>
        </w:rPr>
      </w:pPr>
      <w:bookmarkStart w:id="14" w:name="_Toc70450301"/>
      <w:r>
        <w:rPr>
          <w:rStyle w:val="17"/>
          <w:rFonts w:hint="eastAsia" w:ascii="仿宋" w:hAnsi="仿宋" w:eastAsia="仿宋" w:cs="Times New Roman"/>
          <w:b/>
          <w:bCs/>
        </w:rPr>
        <w:t>（二）基本支出管理及使用情况</w:t>
      </w:r>
      <w:bookmarkEnd w:id="14"/>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2021年基本支出预算安排</w:t>
      </w:r>
      <w:r>
        <w:rPr>
          <w:rStyle w:val="17"/>
          <w:rFonts w:hint="eastAsia" w:ascii="仿宋_GB2312" w:hAnsi="楷体" w:eastAsia="仿宋_GB2312"/>
          <w:b w:val="0"/>
          <w:spacing w:val="-4"/>
          <w:sz w:val="28"/>
          <w:szCs w:val="28"/>
          <w:lang w:val="en-US" w:eastAsia="zh-CN"/>
        </w:rPr>
        <w:t>511.27</w:t>
      </w:r>
      <w:r>
        <w:rPr>
          <w:rStyle w:val="17"/>
          <w:rFonts w:hint="eastAsia" w:ascii="仿宋_GB2312" w:hAnsi="楷体" w:eastAsia="仿宋_GB2312"/>
          <w:b w:val="0"/>
          <w:spacing w:val="-4"/>
          <w:sz w:val="28"/>
          <w:szCs w:val="28"/>
        </w:rPr>
        <w:t>万元，实际到位</w:t>
      </w:r>
      <w:r>
        <w:rPr>
          <w:rStyle w:val="17"/>
          <w:rFonts w:hint="eastAsia" w:ascii="仿宋_GB2312" w:hAnsi="楷体" w:eastAsia="仿宋_GB2312"/>
          <w:b w:val="0"/>
          <w:spacing w:val="-4"/>
          <w:sz w:val="28"/>
          <w:szCs w:val="28"/>
          <w:lang w:val="en-US" w:eastAsia="zh-CN"/>
        </w:rPr>
        <w:t>511.27</w:t>
      </w:r>
      <w:r>
        <w:rPr>
          <w:rStyle w:val="17"/>
          <w:rFonts w:hint="eastAsia" w:ascii="仿宋_GB2312" w:hAnsi="楷体" w:eastAsia="仿宋_GB2312"/>
          <w:b w:val="0"/>
          <w:spacing w:val="-4"/>
          <w:sz w:val="28"/>
          <w:szCs w:val="28"/>
        </w:rPr>
        <w:t>万元,实际支出</w:t>
      </w:r>
      <w:r>
        <w:rPr>
          <w:rStyle w:val="17"/>
          <w:rFonts w:hint="eastAsia" w:ascii="仿宋_GB2312" w:hAnsi="楷体" w:eastAsia="仿宋_GB2312"/>
          <w:b w:val="0"/>
          <w:spacing w:val="-4"/>
          <w:sz w:val="28"/>
          <w:szCs w:val="28"/>
          <w:lang w:val="en-US" w:eastAsia="zh-CN"/>
        </w:rPr>
        <w:t>511.27</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％，其中：工资福利支出</w:t>
      </w:r>
      <w:r>
        <w:rPr>
          <w:rStyle w:val="17"/>
          <w:rFonts w:hint="eastAsia" w:ascii="仿宋_GB2312" w:hAnsi="楷体" w:eastAsia="仿宋_GB2312"/>
          <w:b w:val="0"/>
          <w:spacing w:val="-4"/>
          <w:sz w:val="28"/>
          <w:szCs w:val="28"/>
          <w:lang w:val="en-US" w:eastAsia="zh-CN"/>
        </w:rPr>
        <w:t>375.07</w:t>
      </w:r>
      <w:r>
        <w:rPr>
          <w:rStyle w:val="17"/>
          <w:rFonts w:hint="eastAsia" w:ascii="仿宋_GB2312" w:hAnsi="楷体" w:eastAsia="仿宋_GB2312"/>
          <w:b w:val="0"/>
          <w:spacing w:val="-4"/>
          <w:sz w:val="28"/>
          <w:szCs w:val="28"/>
        </w:rPr>
        <w:t>万元、商品和服务支出</w:t>
      </w:r>
      <w:r>
        <w:rPr>
          <w:rStyle w:val="17"/>
          <w:rFonts w:hint="eastAsia" w:ascii="仿宋_GB2312" w:hAnsi="楷体" w:eastAsia="仿宋_GB2312"/>
          <w:b w:val="0"/>
          <w:spacing w:val="-4"/>
          <w:sz w:val="28"/>
          <w:szCs w:val="28"/>
          <w:lang w:val="en-US" w:eastAsia="zh-CN"/>
        </w:rPr>
        <w:t>124.41</w:t>
      </w:r>
      <w:r>
        <w:rPr>
          <w:rStyle w:val="17"/>
          <w:rFonts w:hint="eastAsia" w:ascii="仿宋_GB2312" w:hAnsi="楷体" w:eastAsia="仿宋_GB2312"/>
          <w:b w:val="0"/>
          <w:spacing w:val="-4"/>
          <w:sz w:val="28"/>
          <w:szCs w:val="28"/>
        </w:rPr>
        <w:t>万元、对个人和家庭的补助</w:t>
      </w:r>
      <w:r>
        <w:rPr>
          <w:rStyle w:val="17"/>
          <w:rFonts w:hint="eastAsia" w:ascii="仿宋_GB2312" w:hAnsi="楷体" w:eastAsia="仿宋_GB2312"/>
          <w:b w:val="0"/>
          <w:spacing w:val="-4"/>
          <w:sz w:val="28"/>
          <w:szCs w:val="28"/>
          <w:lang w:val="en-US" w:eastAsia="zh-CN"/>
        </w:rPr>
        <w:t>11.79</w:t>
      </w:r>
      <w:r>
        <w:rPr>
          <w:rStyle w:val="17"/>
          <w:rFonts w:hint="eastAsia" w:ascii="仿宋_GB2312" w:hAnsi="楷体" w:eastAsia="仿宋_GB2312"/>
          <w:b w:val="0"/>
          <w:spacing w:val="-4"/>
          <w:sz w:val="28"/>
          <w:szCs w:val="28"/>
        </w:rPr>
        <w:t>万元</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rPr>
        <w:t>主要用于本</w:t>
      </w:r>
      <w:r>
        <w:rPr>
          <w:rStyle w:val="17"/>
          <w:rFonts w:hint="eastAsia" w:ascii="仿宋_GB2312" w:hAnsi="楷体" w:eastAsia="仿宋_GB2312"/>
          <w:b w:val="0"/>
          <w:color w:val="auto"/>
          <w:spacing w:val="-4"/>
          <w:sz w:val="28"/>
          <w:szCs w:val="28"/>
        </w:rPr>
        <w:t>单位</w:t>
      </w:r>
      <w:r>
        <w:rPr>
          <w:rStyle w:val="17"/>
          <w:rFonts w:hint="eastAsia" w:ascii="仿宋_GB2312" w:hAnsi="楷体" w:eastAsia="仿宋_GB2312"/>
          <w:b w:val="0"/>
          <w:spacing w:val="-4"/>
          <w:sz w:val="28"/>
          <w:szCs w:val="28"/>
        </w:rPr>
        <w:t>正常运转、完成日常工作任务而发生的各项支出</w:t>
      </w:r>
      <w:r>
        <w:rPr>
          <w:rStyle w:val="17"/>
          <w:rFonts w:hint="eastAsia" w:ascii="仿宋_GB2312" w:hAnsi="楷体" w:eastAsia="仿宋_GB2312"/>
          <w:b w:val="0"/>
          <w:color w:val="auto"/>
          <w:spacing w:val="-4"/>
          <w:sz w:val="28"/>
          <w:szCs w:val="28"/>
          <w:lang w:eastAsia="zh-CN"/>
        </w:rPr>
        <w:t>。</w:t>
      </w:r>
      <w:r>
        <w:rPr>
          <w:rStyle w:val="17"/>
          <w:rFonts w:hint="eastAsia" w:ascii="仿宋_GB2312" w:hAnsi="楷体" w:eastAsia="仿宋_GB2312"/>
          <w:b w:val="0"/>
          <w:spacing w:val="-4"/>
          <w:sz w:val="28"/>
          <w:szCs w:val="28"/>
        </w:rPr>
        <w:t>资本性支出</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2021年基本支出比上年</w:t>
      </w:r>
      <w:r>
        <w:rPr>
          <w:rStyle w:val="17"/>
          <w:rFonts w:hint="eastAsia" w:ascii="仿宋_GB2312" w:hAnsi="楷体" w:eastAsia="仿宋_GB2312"/>
          <w:b w:val="0"/>
          <w:spacing w:val="-4"/>
          <w:sz w:val="28"/>
          <w:szCs w:val="28"/>
          <w:lang w:eastAsia="zh-CN"/>
        </w:rPr>
        <w:t>基本支出</w:t>
      </w:r>
      <w:r>
        <w:rPr>
          <w:rStyle w:val="17"/>
          <w:rFonts w:hint="eastAsia" w:ascii="仿宋_GB2312" w:hAnsi="楷体" w:eastAsia="仿宋_GB2312"/>
          <w:b w:val="0"/>
          <w:spacing w:val="-4"/>
          <w:sz w:val="28"/>
          <w:szCs w:val="28"/>
          <w:lang w:val="en-US" w:eastAsia="zh-CN"/>
        </w:rPr>
        <w:t>484.10万元</w:t>
      </w:r>
      <w:r>
        <w:rPr>
          <w:rStyle w:val="17"/>
          <w:rFonts w:hint="eastAsia" w:ascii="仿宋_GB2312" w:hAnsi="楷体" w:eastAsia="仿宋_GB2312"/>
          <w:b w:val="0"/>
          <w:spacing w:val="-4"/>
          <w:sz w:val="28"/>
          <w:szCs w:val="28"/>
        </w:rPr>
        <w:t>增加</w:t>
      </w:r>
      <w:r>
        <w:rPr>
          <w:rStyle w:val="17"/>
          <w:rFonts w:hint="eastAsia" w:ascii="仿宋_GB2312" w:hAnsi="楷体" w:eastAsia="仿宋_GB2312"/>
          <w:b w:val="0"/>
          <w:spacing w:val="-4"/>
          <w:sz w:val="28"/>
          <w:szCs w:val="28"/>
          <w:lang w:val="en-US" w:eastAsia="zh-CN"/>
        </w:rPr>
        <w:t>27.17</w:t>
      </w:r>
      <w:r>
        <w:rPr>
          <w:rStyle w:val="17"/>
          <w:rFonts w:hint="eastAsia" w:ascii="仿宋_GB2312" w:hAnsi="楷体" w:eastAsia="仿宋_GB2312"/>
          <w:b w:val="0"/>
          <w:spacing w:val="-4"/>
          <w:sz w:val="28"/>
          <w:szCs w:val="28"/>
        </w:rPr>
        <w:t>万元，上升</w:t>
      </w:r>
      <w:r>
        <w:rPr>
          <w:rStyle w:val="17"/>
          <w:rFonts w:hint="eastAsia" w:ascii="仿宋_GB2312" w:hAnsi="宋体" w:eastAsia="仿宋_GB2312"/>
          <w:b w:val="0"/>
          <w:bCs w:val="0"/>
          <w:spacing w:val="-4"/>
          <w:sz w:val="28"/>
          <w:szCs w:val="28"/>
          <w:lang w:val="en-US" w:eastAsia="zh-CN"/>
        </w:rPr>
        <w:t>5.61</w:t>
      </w:r>
      <w:r>
        <w:rPr>
          <w:rStyle w:val="17"/>
          <w:rFonts w:ascii="仿宋_GB2312" w:hAnsi="宋体" w:eastAsia="仿宋_GB2312"/>
          <w:b w:val="0"/>
          <w:bCs w:val="0"/>
          <w:spacing w:val="-4"/>
          <w:sz w:val="28"/>
          <w:szCs w:val="28"/>
        </w:rPr>
        <w:t>%</w:t>
      </w:r>
      <w:r>
        <w:rPr>
          <w:rStyle w:val="17"/>
          <w:rFonts w:hint="eastAsia" w:ascii="仿宋_GB2312" w:hAnsi="楷体" w:eastAsia="仿宋_GB2312"/>
          <w:b w:val="0"/>
          <w:spacing w:val="-4"/>
          <w:sz w:val="28"/>
          <w:szCs w:val="28"/>
        </w:rPr>
        <w:t>，支出上升的主要原因是</w:t>
      </w:r>
      <w:r>
        <w:rPr>
          <w:rStyle w:val="17"/>
          <w:rFonts w:hint="eastAsia" w:ascii="仿宋_GB2312" w:hAnsi="楷体" w:eastAsia="仿宋_GB2312"/>
          <w:b w:val="0"/>
          <w:spacing w:val="-4"/>
          <w:sz w:val="28"/>
          <w:szCs w:val="28"/>
          <w:lang w:eastAsia="zh-CN"/>
        </w:rPr>
        <w:t>：我单位</w:t>
      </w:r>
      <w:r>
        <w:rPr>
          <w:rStyle w:val="17"/>
          <w:rFonts w:hint="eastAsia" w:ascii="仿宋_GB2312" w:hAnsi="楷体" w:eastAsia="仿宋_GB2312"/>
          <w:b w:val="0"/>
          <w:spacing w:val="-4"/>
          <w:sz w:val="28"/>
          <w:szCs w:val="28"/>
          <w:lang w:val="en-US" w:eastAsia="zh-CN"/>
        </w:rPr>
        <w:t>2021年</w:t>
      </w:r>
      <w:r>
        <w:rPr>
          <w:rStyle w:val="17"/>
          <w:rFonts w:hint="eastAsia" w:ascii="仿宋_GB2312" w:hAnsi="楷体" w:eastAsia="仿宋_GB2312"/>
          <w:b w:val="0"/>
          <w:spacing w:val="-4"/>
          <w:sz w:val="28"/>
          <w:szCs w:val="28"/>
          <w:lang w:eastAsia="zh-CN"/>
        </w:rPr>
        <w:t>人员增加</w:t>
      </w:r>
      <w:r>
        <w:rPr>
          <w:rStyle w:val="17"/>
          <w:rFonts w:hint="eastAsia" w:ascii="仿宋_GB2312" w:hAnsi="楷体" w:eastAsia="仿宋_GB2312"/>
          <w:b w:val="0"/>
          <w:spacing w:val="-4"/>
          <w:sz w:val="28"/>
          <w:szCs w:val="28"/>
          <w:lang w:val="en-US" w:eastAsia="zh-CN"/>
        </w:rPr>
        <w:t>4人、</w:t>
      </w:r>
      <w:r>
        <w:rPr>
          <w:rStyle w:val="17"/>
          <w:rFonts w:hint="eastAsia" w:ascii="仿宋_GB2312" w:hAnsi="楷体" w:eastAsia="仿宋_GB2312"/>
          <w:b w:val="0"/>
          <w:spacing w:val="-4"/>
          <w:sz w:val="28"/>
          <w:szCs w:val="28"/>
          <w:lang w:eastAsia="zh-CN"/>
        </w:rPr>
        <w:t>社保基数调增、住房公积金基数调增、公务员晋级晋档、事业编正常升级、工资调增。</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年一般公共预算“三公”经费数为</w:t>
      </w:r>
      <w:r>
        <w:rPr>
          <w:rStyle w:val="17"/>
          <w:rFonts w:hint="eastAsia" w:ascii="仿宋_GB2312" w:hAnsi="楷体" w:eastAsia="仿宋_GB2312"/>
          <w:b w:val="0"/>
          <w:spacing w:val="-4"/>
          <w:sz w:val="28"/>
          <w:szCs w:val="28"/>
          <w:lang w:val="en-US" w:eastAsia="zh-CN"/>
        </w:rPr>
        <w:t>0.8</w:t>
      </w:r>
      <w:r>
        <w:rPr>
          <w:rStyle w:val="17"/>
          <w:rFonts w:hint="eastAsia" w:ascii="仿宋_GB2312" w:hAnsi="楷体" w:eastAsia="仿宋_GB2312"/>
          <w:b w:val="0"/>
          <w:spacing w:val="-4"/>
          <w:sz w:val="28"/>
          <w:szCs w:val="28"/>
        </w:rPr>
        <w:t>万元，其中：因公出国（境）费</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万元，公务用车购置</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万元，公务用车运行费</w:t>
      </w:r>
      <w:r>
        <w:rPr>
          <w:rStyle w:val="17"/>
          <w:rFonts w:hint="eastAsia" w:ascii="仿宋_GB2312" w:hAnsi="楷体" w:eastAsia="仿宋_GB2312"/>
          <w:b w:val="0"/>
          <w:spacing w:val="-4"/>
          <w:sz w:val="28"/>
          <w:szCs w:val="28"/>
          <w:lang w:val="en-US" w:eastAsia="zh-CN"/>
        </w:rPr>
        <w:t>0.8</w:t>
      </w:r>
      <w:r>
        <w:rPr>
          <w:rStyle w:val="17"/>
          <w:rFonts w:hint="eastAsia" w:ascii="仿宋_GB2312" w:hAnsi="楷体" w:eastAsia="仿宋_GB2312"/>
          <w:b w:val="0"/>
          <w:spacing w:val="-4"/>
          <w:sz w:val="28"/>
          <w:szCs w:val="28"/>
        </w:rPr>
        <w:t>万元，公务接待费</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w:t>
      </w:r>
    </w:p>
    <w:p>
      <w:pPr>
        <w:spacing w:line="360" w:lineRule="auto"/>
        <w:ind w:firstLine="492" w:firstLineChars="181"/>
        <w:rPr>
          <w:rStyle w:val="17"/>
          <w:rFonts w:hint="default" w:ascii="仿宋_GB2312" w:hAnsi="楷体" w:eastAsia="仿宋_GB2312"/>
          <w:b w:val="0"/>
          <w:spacing w:val="-4"/>
          <w:sz w:val="28"/>
          <w:szCs w:val="28"/>
          <w:lang w:val="en-US"/>
        </w:rPr>
      </w:pPr>
      <w:bookmarkStart w:id="15" w:name="_Toc70450302"/>
      <w:r>
        <w:rPr>
          <w:rStyle w:val="17"/>
          <w:rFonts w:hint="eastAsia" w:ascii="仿宋_GB2312" w:hAnsi="楷体" w:eastAsia="仿宋_GB2312"/>
          <w:b w:val="0"/>
          <w:spacing w:val="-4"/>
          <w:sz w:val="28"/>
          <w:szCs w:val="28"/>
        </w:rPr>
        <w:t xml:space="preserve">2021年一般公共预算“三公”经费比上年增加 </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 xml:space="preserve">  万元，其中：因公出国（境）费增加 </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 xml:space="preserve">万元，主要原因是 </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lang w:val="en-US" w:eastAsia="zh-CN"/>
        </w:rPr>
        <w:t>未安排预算</w:t>
      </w:r>
      <w:r>
        <w:rPr>
          <w:rStyle w:val="17"/>
          <w:rFonts w:hint="eastAsia" w:ascii="仿宋_GB2312" w:hAnsi="楷体" w:eastAsia="仿宋_GB2312"/>
          <w:b w:val="0"/>
          <w:spacing w:val="-4"/>
          <w:sz w:val="28"/>
          <w:szCs w:val="28"/>
        </w:rPr>
        <w:t xml:space="preserve">  ；公务用车购置费为0，未安排预算；公务用车运行费增加 </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万元，主要原因是</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rPr>
        <w:t>与上年一致</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rPr>
        <w:t>公务接待费增加</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 xml:space="preserve">万元，主要原因是 </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lang w:val="en-US" w:eastAsia="zh-CN"/>
        </w:rPr>
        <w:t>未安排预算。</w:t>
      </w:r>
    </w:p>
    <w:p>
      <w:pPr>
        <w:pStyle w:val="5"/>
        <w:spacing w:line="360" w:lineRule="auto"/>
        <w:rPr>
          <w:rStyle w:val="17"/>
          <w:rFonts w:ascii="仿宋" w:hAnsi="仿宋" w:eastAsia="仿宋"/>
          <w:b/>
          <w:bCs/>
        </w:rPr>
      </w:pPr>
      <w:r>
        <w:rPr>
          <w:rStyle w:val="17"/>
          <w:rFonts w:hint="eastAsia" w:ascii="仿宋" w:hAnsi="仿宋" w:eastAsia="仿宋"/>
          <w:b/>
          <w:bCs/>
        </w:rPr>
        <w:t>（三）专项支出管理及使用情况</w:t>
      </w:r>
      <w:bookmarkEnd w:id="15"/>
    </w:p>
    <w:p>
      <w:pPr>
        <w:pStyle w:val="6"/>
        <w:spacing w:line="360" w:lineRule="auto"/>
        <w:ind w:firstLine="562" w:firstLineChars="200"/>
        <w:rPr>
          <w:rStyle w:val="17"/>
          <w:rFonts w:ascii="仿宋" w:hAnsi="仿宋" w:eastAsia="仿宋"/>
          <w:b/>
          <w:bCs/>
        </w:rPr>
      </w:pPr>
      <w:bookmarkStart w:id="16" w:name="_Toc70450303"/>
      <w:r>
        <w:rPr>
          <w:rStyle w:val="17"/>
          <w:rFonts w:hint="eastAsia" w:ascii="仿宋" w:hAnsi="仿宋" w:eastAsia="仿宋"/>
          <w:b/>
          <w:bCs/>
        </w:rPr>
        <w:t>1、专项资金安排落实、总投入等情况分析</w:t>
      </w:r>
      <w:bookmarkEnd w:id="16"/>
    </w:p>
    <w:p>
      <w:pPr>
        <w:spacing w:line="360" w:lineRule="auto"/>
        <w:ind w:firstLine="492" w:firstLineChars="181"/>
        <w:rPr>
          <w:rStyle w:val="17"/>
          <w:rFonts w:hint="eastAsia" w:ascii="仿宋_GB2312" w:hAnsi="楷体" w:eastAsia="仿宋_GB2312"/>
          <w:b w:val="0"/>
          <w:spacing w:val="-4"/>
          <w:sz w:val="28"/>
          <w:szCs w:val="28"/>
          <w:lang w:eastAsia="zh-CN"/>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年预算安排专项资金</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万元，实际到位</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w:t>
      </w:r>
      <w:r>
        <w:rPr>
          <w:rFonts w:hint="eastAsia"/>
        </w:rPr>
        <w:t xml:space="preserve"> </w:t>
      </w:r>
      <w:r>
        <w:rPr>
          <w:rStyle w:val="17"/>
          <w:rFonts w:hint="eastAsia" w:ascii="仿宋_GB2312" w:hAnsi="楷体" w:eastAsia="仿宋_GB2312"/>
          <w:b w:val="0"/>
          <w:spacing w:val="-4"/>
          <w:sz w:val="28"/>
          <w:szCs w:val="28"/>
        </w:rPr>
        <w:t>到位率</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％,其中:中央转移支付项目资金</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万元，自治区资金</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万元，本级安排</w:t>
      </w:r>
      <w:r>
        <w:rPr>
          <w:rStyle w:val="17"/>
          <w:rFonts w:hint="eastAsia" w:ascii="仿宋_GB2312" w:hAnsi="楷体" w:eastAsia="仿宋_GB2312"/>
          <w:b w:val="0"/>
          <w:spacing w:val="-4"/>
          <w:sz w:val="28"/>
          <w:szCs w:val="28"/>
          <w:lang w:val="en-US" w:eastAsia="zh-CN"/>
        </w:rPr>
        <w:t>0</w:t>
      </w:r>
      <w:r>
        <w:rPr>
          <w:rStyle w:val="17"/>
          <w:rFonts w:ascii="仿宋_GB2312" w:hAnsi="楷体" w:eastAsia="仿宋_GB2312"/>
          <w:b w:val="0"/>
          <w:spacing w:val="-4"/>
          <w:sz w:val="28"/>
          <w:szCs w:val="28"/>
        </w:rPr>
        <w:t xml:space="preserve">   </w:t>
      </w:r>
      <w:r>
        <w:rPr>
          <w:rStyle w:val="17"/>
          <w:rFonts w:hint="eastAsia" w:ascii="仿宋_GB2312" w:hAnsi="楷体" w:eastAsia="仿宋_GB2312"/>
          <w:b w:val="0"/>
          <w:spacing w:val="-4"/>
          <w:sz w:val="28"/>
          <w:szCs w:val="28"/>
        </w:rPr>
        <w:t>万元</w:t>
      </w:r>
      <w:r>
        <w:rPr>
          <w:rStyle w:val="17"/>
          <w:rFonts w:hint="eastAsia" w:ascii="仿宋_GB2312" w:hAnsi="楷体" w:eastAsia="仿宋_GB2312"/>
          <w:b w:val="0"/>
          <w:spacing w:val="-4"/>
          <w:sz w:val="28"/>
          <w:szCs w:val="28"/>
          <w:lang w:eastAsia="zh-CN"/>
        </w:rPr>
        <w:t>。</w:t>
      </w:r>
    </w:p>
    <w:p>
      <w:pPr>
        <w:pStyle w:val="6"/>
        <w:spacing w:line="360" w:lineRule="auto"/>
        <w:ind w:firstLine="562" w:firstLineChars="200"/>
        <w:rPr>
          <w:rStyle w:val="17"/>
          <w:rFonts w:ascii="仿宋" w:hAnsi="仿宋" w:eastAsia="仿宋"/>
          <w:b/>
          <w:bCs/>
        </w:rPr>
      </w:pPr>
      <w:bookmarkStart w:id="17" w:name="_Toc70450304"/>
      <w:r>
        <w:rPr>
          <w:rStyle w:val="17"/>
          <w:rFonts w:hint="eastAsia" w:ascii="仿宋" w:hAnsi="仿宋" w:eastAsia="仿宋"/>
          <w:b/>
          <w:bCs/>
        </w:rPr>
        <w:t>2、专项资金实际使用情况</w:t>
      </w:r>
      <w:bookmarkEnd w:id="17"/>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2021年专项资金支出</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%，其中2021年专项项目支出比上年</w:t>
      </w:r>
      <w:r>
        <w:rPr>
          <w:rStyle w:val="17"/>
          <w:rFonts w:hint="eastAsia" w:ascii="仿宋_GB2312" w:hAnsi="楷体" w:eastAsia="仿宋_GB2312"/>
          <w:b w:val="0"/>
          <w:spacing w:val="-4"/>
          <w:sz w:val="28"/>
          <w:szCs w:val="28"/>
          <w:lang w:val="en-US" w:eastAsia="zh-CN"/>
        </w:rPr>
        <w:t>130</w:t>
      </w:r>
      <w:r>
        <w:rPr>
          <w:rStyle w:val="17"/>
          <w:rFonts w:hint="eastAsia" w:ascii="仿宋_GB2312" w:hAnsi="楷体" w:eastAsia="仿宋_GB2312"/>
          <w:b w:val="0"/>
          <w:spacing w:val="-4"/>
          <w:sz w:val="28"/>
          <w:szCs w:val="28"/>
        </w:rPr>
        <w:t>万元减少</w:t>
      </w:r>
      <w:r>
        <w:rPr>
          <w:rStyle w:val="17"/>
          <w:rFonts w:hint="eastAsia" w:ascii="仿宋_GB2312" w:hAnsi="楷体" w:eastAsia="仿宋_GB2312"/>
          <w:b w:val="0"/>
          <w:spacing w:val="-4"/>
          <w:sz w:val="28"/>
          <w:szCs w:val="28"/>
          <w:lang w:val="en-US" w:eastAsia="zh-CN"/>
        </w:rPr>
        <w:t>130</w:t>
      </w:r>
      <w:r>
        <w:rPr>
          <w:rStyle w:val="17"/>
          <w:rFonts w:hint="eastAsia" w:ascii="仿宋_GB2312" w:hAnsi="楷体" w:eastAsia="仿宋_GB2312"/>
          <w:b w:val="0"/>
          <w:spacing w:val="-4"/>
          <w:sz w:val="28"/>
          <w:szCs w:val="28"/>
        </w:rPr>
        <w:t>万元，下降</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%。支出减少的主要原因是</w:t>
      </w:r>
      <w:r>
        <w:rPr>
          <w:rStyle w:val="17"/>
          <w:rFonts w:hint="eastAsia" w:ascii="仿宋_GB2312" w:hAnsi="楷体" w:eastAsia="仿宋_GB2312"/>
          <w:b w:val="0"/>
          <w:spacing w:val="-4"/>
          <w:sz w:val="28"/>
          <w:szCs w:val="28"/>
          <w:lang w:eastAsia="zh-CN"/>
        </w:rPr>
        <w:t>：无预算安排</w:t>
      </w:r>
      <w:r>
        <w:rPr>
          <w:rStyle w:val="17"/>
          <w:rFonts w:hint="eastAsia" w:ascii="仿宋_GB2312" w:hAnsi="楷体" w:eastAsia="仿宋_GB2312"/>
          <w:b w:val="0"/>
          <w:spacing w:val="-4"/>
          <w:sz w:val="28"/>
          <w:szCs w:val="28"/>
        </w:rPr>
        <w:t>。</w:t>
      </w:r>
    </w:p>
    <w:p>
      <w:pPr>
        <w:pStyle w:val="6"/>
        <w:spacing w:line="360" w:lineRule="auto"/>
        <w:ind w:firstLine="562" w:firstLineChars="200"/>
        <w:rPr>
          <w:rStyle w:val="17"/>
          <w:rFonts w:ascii="仿宋" w:hAnsi="仿宋" w:eastAsia="仿宋"/>
          <w:b/>
          <w:bCs/>
        </w:rPr>
      </w:pPr>
      <w:bookmarkStart w:id="18" w:name="_Toc70450305"/>
      <w:r>
        <w:rPr>
          <w:rStyle w:val="17"/>
          <w:rFonts w:hint="eastAsia" w:ascii="仿宋" w:hAnsi="仿宋" w:eastAsia="仿宋"/>
          <w:b/>
          <w:bCs/>
        </w:rPr>
        <w:t>3、专项资金管理情况</w:t>
      </w:r>
      <w:bookmarkEnd w:id="18"/>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为规范专项资金使用，提高专项资金使用效益，</w:t>
      </w:r>
      <w:r>
        <w:rPr>
          <w:rStyle w:val="17"/>
          <w:rFonts w:hint="eastAsia" w:ascii="仿宋_GB2312" w:hAnsi="楷体" w:eastAsia="仿宋_GB2312"/>
          <w:b w:val="0"/>
          <w:spacing w:val="-4"/>
          <w:sz w:val="28"/>
          <w:szCs w:val="28"/>
          <w:lang w:eastAsia="zh-CN"/>
        </w:rPr>
        <w:t>我单位</w:t>
      </w:r>
      <w:r>
        <w:rPr>
          <w:rStyle w:val="17"/>
          <w:rFonts w:hint="eastAsia" w:ascii="仿宋_GB2312" w:hAnsi="楷体" w:eastAsia="仿宋_GB2312"/>
          <w:b w:val="0"/>
          <w:spacing w:val="-4"/>
          <w:sz w:val="28"/>
          <w:szCs w:val="28"/>
        </w:rPr>
        <w:t>主要采取四项措施。</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（1）制定了专项资金管理办法，各项资金使用审批流程均按规定办理。涉及“三重一大”内容，严格按照规定提请局党组会审议决定，包括项目资金分配、重大项目确定、大额资金支付等。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）建立专项资金专帐，做到有据可依，有据可查。</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（3）制订项目实施方案，认真组织项目验收</w:t>
      </w:r>
      <w:r>
        <w:rPr>
          <w:rStyle w:val="17"/>
          <w:rFonts w:hint="eastAsia" w:ascii="仿宋_GB2312" w:hAnsi="楷体" w:eastAsia="仿宋_GB2312"/>
          <w:b w:val="0"/>
          <w:spacing w:val="-4"/>
          <w:sz w:val="28"/>
          <w:szCs w:val="28"/>
          <w:lang w:eastAsia="zh-CN"/>
        </w:rPr>
        <w:t>、</w:t>
      </w:r>
      <w:r>
        <w:rPr>
          <w:rStyle w:val="17"/>
          <w:rFonts w:hint="eastAsia" w:ascii="仿宋_GB2312" w:hAnsi="楷体" w:eastAsia="仿宋_GB2312"/>
          <w:b w:val="0"/>
          <w:spacing w:val="-4"/>
          <w:sz w:val="28"/>
          <w:szCs w:val="28"/>
        </w:rPr>
        <w:t>确保项目</w:t>
      </w:r>
      <w:r>
        <w:rPr>
          <w:rStyle w:val="17"/>
          <w:rFonts w:hint="eastAsia" w:ascii="仿宋_GB2312" w:hAnsi="楷体" w:eastAsia="仿宋_GB2312"/>
          <w:b w:val="0"/>
          <w:spacing w:val="-4"/>
          <w:sz w:val="28"/>
          <w:szCs w:val="28"/>
          <w:lang w:eastAsia="zh-CN"/>
        </w:rPr>
        <w:t>顺利落地</w:t>
      </w:r>
      <w:r>
        <w:rPr>
          <w:rStyle w:val="17"/>
          <w:rFonts w:hint="eastAsia" w:ascii="仿宋_GB2312" w:hAnsi="楷体" w:eastAsia="仿宋_GB2312"/>
          <w:b w:val="0"/>
          <w:spacing w:val="-4"/>
          <w:sz w:val="28"/>
          <w:szCs w:val="28"/>
        </w:rPr>
        <w:t>。</w:t>
      </w:r>
    </w:p>
    <w:p>
      <w:pPr>
        <w:spacing w:line="360" w:lineRule="auto"/>
        <w:ind w:firstLine="492" w:firstLineChars="181"/>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（4）专项资金涉及政府采购项目的，按照</w:t>
      </w:r>
      <w:r>
        <w:rPr>
          <w:rStyle w:val="17"/>
          <w:rFonts w:hint="eastAsia" w:ascii="仿宋_GB2312" w:hAnsi="楷体" w:eastAsia="仿宋_GB2312"/>
          <w:b w:val="0"/>
          <w:spacing w:val="-4"/>
          <w:sz w:val="28"/>
          <w:szCs w:val="28"/>
          <w:lang w:eastAsia="zh-CN"/>
        </w:rPr>
        <w:t>我单位</w:t>
      </w:r>
      <w:r>
        <w:rPr>
          <w:rStyle w:val="17"/>
          <w:rFonts w:hint="eastAsia" w:ascii="仿宋_GB2312" w:hAnsi="楷体" w:eastAsia="仿宋_GB2312"/>
          <w:b w:val="0"/>
          <w:spacing w:val="-4"/>
          <w:sz w:val="28"/>
          <w:szCs w:val="28"/>
        </w:rPr>
        <w:t>《</w:t>
      </w:r>
      <w:r>
        <w:rPr>
          <w:rStyle w:val="17"/>
          <w:rFonts w:hint="eastAsia" w:ascii="仿宋_GB2312" w:hAnsi="楷体" w:eastAsia="仿宋_GB2312"/>
          <w:b w:val="0"/>
          <w:spacing w:val="-4"/>
          <w:sz w:val="28"/>
          <w:szCs w:val="28"/>
          <w:lang w:eastAsia="zh-CN"/>
        </w:rPr>
        <w:t>政府</w:t>
      </w:r>
      <w:r>
        <w:rPr>
          <w:rStyle w:val="17"/>
          <w:rFonts w:hint="eastAsia" w:ascii="仿宋_GB2312" w:hAnsi="楷体" w:eastAsia="仿宋_GB2312"/>
          <w:b w:val="0"/>
          <w:spacing w:val="-4"/>
          <w:sz w:val="28"/>
          <w:szCs w:val="28"/>
        </w:rPr>
        <w:t>采购与招标管理办法》组织人员制定采购计划，按照财政局采购部门批复，进行公开招标、邀请招标等方式进行。</w:t>
      </w:r>
    </w:p>
    <w:p>
      <w:pPr>
        <w:pStyle w:val="2"/>
      </w:pPr>
    </w:p>
    <w:p/>
    <w:p>
      <w:pPr>
        <w:pStyle w:val="4"/>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spacing w:line="360" w:lineRule="auto"/>
        <w:ind w:firstLine="544" w:firstLineChars="200"/>
        <w:rPr>
          <w:rStyle w:val="17"/>
          <w:rFonts w:hint="eastAsia" w:ascii="仿宋_GB2312" w:hAnsi="宋体" w:eastAsia="仿宋_GB2312" w:cs="Times New Roman"/>
          <w:b w:val="0"/>
          <w:bCs w:val="0"/>
          <w:spacing w:val="-4"/>
          <w:sz w:val="28"/>
          <w:szCs w:val="28"/>
          <w:lang w:eastAsia="zh-CN"/>
        </w:rPr>
      </w:pPr>
      <w:r>
        <w:rPr>
          <w:rStyle w:val="17"/>
          <w:rFonts w:hint="eastAsia" w:ascii="仿宋_GB2312" w:hAnsi="宋体" w:eastAsia="仿宋_GB2312" w:cs="Times New Roman"/>
          <w:b w:val="0"/>
          <w:bCs w:val="0"/>
          <w:spacing w:val="-4"/>
          <w:sz w:val="28"/>
          <w:szCs w:val="28"/>
          <w:lang w:eastAsia="zh-CN"/>
        </w:rPr>
        <w:t>本单位2021年度未安排项目支出预算。</w:t>
      </w:r>
    </w:p>
    <w:p>
      <w:pPr>
        <w:pStyle w:val="2"/>
        <w:rPr>
          <w:rStyle w:val="17"/>
          <w:rFonts w:hint="eastAsia" w:ascii="仿宋_GB2312" w:hAnsi="宋体" w:eastAsia="仿宋_GB2312" w:cs="Times New Roman"/>
          <w:b w:val="0"/>
          <w:bCs w:val="0"/>
          <w:spacing w:val="-4"/>
          <w:sz w:val="28"/>
          <w:szCs w:val="28"/>
          <w:lang w:eastAsia="zh-CN"/>
        </w:rPr>
      </w:pPr>
    </w:p>
    <w:p>
      <w:pPr>
        <w:rPr>
          <w:rStyle w:val="17"/>
          <w:rFonts w:hint="eastAsia" w:ascii="仿宋_GB2312" w:hAnsi="楷体" w:eastAsia="仿宋_GB2312"/>
          <w:b w:val="0"/>
          <w:bCs w:val="0"/>
          <w:spacing w:val="-4"/>
          <w:sz w:val="28"/>
          <w:szCs w:val="28"/>
        </w:rPr>
      </w:pPr>
    </w:p>
    <w:p>
      <w:pPr>
        <w:rPr>
          <w:rFonts w:hint="eastAsia"/>
        </w:rPr>
      </w:pPr>
    </w:p>
    <w:p>
      <w:pPr>
        <w:pStyle w:val="4"/>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5"/>
        <w:spacing w:line="360" w:lineRule="auto"/>
        <w:rPr>
          <w:rStyle w:val="17"/>
          <w:rFonts w:ascii="仿宋" w:hAnsi="仿宋" w:eastAsia="仿宋"/>
          <w:b/>
          <w:bCs/>
        </w:rPr>
      </w:pPr>
      <w:bookmarkStart w:id="21" w:name="_Toc70450311"/>
      <w:r>
        <w:rPr>
          <w:rStyle w:val="17"/>
          <w:rFonts w:hint="eastAsia" w:ascii="仿宋" w:hAnsi="仿宋" w:eastAsia="仿宋"/>
          <w:b/>
          <w:bCs/>
        </w:rPr>
        <w:t>（一）资产配置情况</w:t>
      </w:r>
      <w:bookmarkEnd w:id="21"/>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年</w:t>
      </w:r>
      <w:r>
        <w:rPr>
          <w:rStyle w:val="17"/>
          <w:rFonts w:hint="eastAsia" w:ascii="仿宋_GB2312" w:hAnsi="宋体" w:eastAsia="仿宋_GB2312"/>
          <w:b w:val="0"/>
          <w:bCs w:val="0"/>
          <w:spacing w:val="-4"/>
          <w:sz w:val="28"/>
          <w:szCs w:val="28"/>
          <w:lang w:eastAsia="zh-CN"/>
        </w:rPr>
        <w:t>我单位</w:t>
      </w:r>
      <w:r>
        <w:rPr>
          <w:rStyle w:val="17"/>
          <w:rFonts w:hint="eastAsia" w:ascii="仿宋_GB2312" w:hAnsi="宋体" w:eastAsia="仿宋_GB2312"/>
          <w:b w:val="0"/>
          <w:bCs w:val="0"/>
          <w:spacing w:val="-4"/>
          <w:sz w:val="28"/>
          <w:szCs w:val="28"/>
        </w:rPr>
        <w:t>资产总额5425万元，其中流动资产</w:t>
      </w:r>
      <w:r>
        <w:rPr>
          <w:rStyle w:val="17"/>
          <w:rFonts w:hint="eastAsia" w:ascii="仿宋_GB2312" w:hAnsi="宋体" w:eastAsia="仿宋_GB2312"/>
          <w:b w:val="0"/>
          <w:bCs w:val="0"/>
          <w:spacing w:val="-4"/>
          <w:sz w:val="28"/>
          <w:szCs w:val="28"/>
          <w:lang w:val="en-US" w:eastAsia="zh-CN"/>
        </w:rPr>
        <w:t>0</w:t>
      </w:r>
      <w:r>
        <w:rPr>
          <w:rStyle w:val="17"/>
          <w:rFonts w:hint="eastAsia" w:ascii="仿宋_GB2312" w:hAnsi="宋体" w:eastAsia="仿宋_GB2312"/>
          <w:b w:val="0"/>
          <w:bCs w:val="0"/>
          <w:spacing w:val="-4"/>
          <w:sz w:val="28"/>
          <w:szCs w:val="28"/>
        </w:rPr>
        <w:t>万元，固定资产净值4331.7</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万元（其中：土地、房屋及构筑物</w:t>
      </w:r>
      <w:r>
        <w:rPr>
          <w:rStyle w:val="17"/>
          <w:rFonts w:hint="eastAsia" w:ascii="仿宋_GB2312" w:hAnsi="宋体" w:eastAsia="仿宋_GB2312"/>
          <w:b w:val="0"/>
          <w:bCs w:val="0"/>
          <w:spacing w:val="-4"/>
          <w:sz w:val="28"/>
          <w:szCs w:val="28"/>
          <w:lang w:val="en-US" w:eastAsia="zh-CN"/>
        </w:rPr>
        <w:t>4313.95</w:t>
      </w:r>
      <w:r>
        <w:rPr>
          <w:rStyle w:val="17"/>
          <w:rFonts w:hint="eastAsia" w:ascii="仿宋_GB2312" w:hAnsi="宋体" w:eastAsia="仿宋_GB2312"/>
          <w:b w:val="0"/>
          <w:bCs w:val="0"/>
          <w:spacing w:val="-4"/>
          <w:sz w:val="28"/>
          <w:szCs w:val="28"/>
        </w:rPr>
        <w:t>万元，占固定资产净值的</w:t>
      </w:r>
      <w:r>
        <w:rPr>
          <w:rStyle w:val="17"/>
          <w:rFonts w:hint="eastAsia" w:ascii="仿宋_GB2312" w:hAnsi="宋体" w:eastAsia="仿宋_GB2312"/>
          <w:b w:val="0"/>
          <w:bCs w:val="0"/>
          <w:spacing w:val="-4"/>
          <w:sz w:val="28"/>
          <w:szCs w:val="28"/>
          <w:lang w:val="en-US" w:eastAsia="zh-CN"/>
        </w:rPr>
        <w:t>99.59</w:t>
      </w:r>
      <w:r>
        <w:rPr>
          <w:rStyle w:val="17"/>
          <w:rFonts w:hint="eastAsia" w:ascii="仿宋_GB2312" w:hAnsi="宋体" w:eastAsia="仿宋_GB2312"/>
          <w:b w:val="0"/>
          <w:bCs w:val="0"/>
          <w:spacing w:val="-4"/>
          <w:sz w:val="28"/>
          <w:szCs w:val="28"/>
        </w:rPr>
        <w:t>%；通用设备</w:t>
      </w:r>
      <w:r>
        <w:rPr>
          <w:rStyle w:val="17"/>
          <w:rFonts w:hint="eastAsia" w:ascii="仿宋_GB2312" w:hAnsi="宋体" w:eastAsia="仿宋_GB2312"/>
          <w:b w:val="0"/>
          <w:bCs w:val="0"/>
          <w:spacing w:val="-4"/>
          <w:sz w:val="28"/>
          <w:szCs w:val="28"/>
          <w:lang w:val="en-US" w:eastAsia="zh-CN"/>
        </w:rPr>
        <w:t>13.41</w:t>
      </w:r>
      <w:r>
        <w:rPr>
          <w:rStyle w:val="17"/>
          <w:rFonts w:hint="eastAsia" w:ascii="仿宋_GB2312" w:hAnsi="宋体" w:eastAsia="仿宋_GB2312"/>
          <w:b w:val="0"/>
          <w:bCs w:val="0"/>
          <w:spacing w:val="-4"/>
          <w:sz w:val="28"/>
          <w:szCs w:val="28"/>
        </w:rPr>
        <w:t>万元，占固定资产净值的</w:t>
      </w:r>
      <w:r>
        <w:rPr>
          <w:rStyle w:val="17"/>
          <w:rFonts w:hint="eastAsia" w:ascii="仿宋_GB2312" w:hAnsi="宋体" w:eastAsia="仿宋_GB2312"/>
          <w:b w:val="0"/>
          <w:bCs w:val="0"/>
          <w:spacing w:val="-4"/>
          <w:sz w:val="28"/>
          <w:szCs w:val="28"/>
          <w:lang w:val="en-US" w:eastAsia="zh-CN"/>
        </w:rPr>
        <w:t>0.31</w:t>
      </w:r>
      <w:r>
        <w:rPr>
          <w:rStyle w:val="17"/>
          <w:rFonts w:hint="eastAsia" w:ascii="仿宋_GB2312" w:hAnsi="宋体" w:eastAsia="仿宋_GB2312"/>
          <w:b w:val="0"/>
          <w:bCs w:val="0"/>
          <w:spacing w:val="-4"/>
          <w:sz w:val="28"/>
          <w:szCs w:val="28"/>
        </w:rPr>
        <w:t>%；专用设备</w:t>
      </w:r>
      <w:r>
        <w:rPr>
          <w:rStyle w:val="17"/>
          <w:rFonts w:hint="eastAsia" w:ascii="仿宋_GB2312" w:hAnsi="宋体" w:eastAsia="仿宋_GB2312"/>
          <w:b w:val="0"/>
          <w:bCs w:val="0"/>
          <w:spacing w:val="-4"/>
          <w:sz w:val="28"/>
          <w:szCs w:val="28"/>
          <w:lang w:val="en-US" w:eastAsia="zh-CN"/>
        </w:rPr>
        <w:t>0</w:t>
      </w:r>
      <w:r>
        <w:rPr>
          <w:rStyle w:val="17"/>
          <w:rFonts w:hint="eastAsia" w:ascii="仿宋_GB2312" w:hAnsi="宋体" w:eastAsia="仿宋_GB2312"/>
          <w:b w:val="0"/>
          <w:bCs w:val="0"/>
          <w:spacing w:val="-4"/>
          <w:sz w:val="28"/>
          <w:szCs w:val="28"/>
        </w:rPr>
        <w:t>万元，占固定资产净值的</w:t>
      </w:r>
      <w:r>
        <w:rPr>
          <w:rStyle w:val="17"/>
          <w:rFonts w:hint="eastAsia" w:ascii="仿宋_GB2312" w:hAnsi="宋体" w:eastAsia="仿宋_GB2312"/>
          <w:b w:val="0"/>
          <w:bCs w:val="0"/>
          <w:spacing w:val="-4"/>
          <w:sz w:val="28"/>
          <w:szCs w:val="28"/>
          <w:lang w:val="en-US" w:eastAsia="zh-CN"/>
        </w:rPr>
        <w:t>0</w:t>
      </w:r>
      <w:r>
        <w:rPr>
          <w:rStyle w:val="17"/>
          <w:rFonts w:hint="eastAsia" w:ascii="仿宋_GB2312" w:hAnsi="宋体" w:eastAsia="仿宋_GB2312"/>
          <w:b w:val="0"/>
          <w:bCs w:val="0"/>
          <w:spacing w:val="-4"/>
          <w:sz w:val="28"/>
          <w:szCs w:val="28"/>
        </w:rPr>
        <w:t>%；</w:t>
      </w:r>
      <w:r>
        <w:rPr>
          <w:rStyle w:val="17"/>
          <w:rFonts w:hint="eastAsia" w:ascii="仿宋_GB2312" w:hAnsi="宋体" w:eastAsia="仿宋_GB2312"/>
          <w:b w:val="0"/>
          <w:bCs w:val="0"/>
          <w:spacing w:val="-4"/>
          <w:sz w:val="28"/>
          <w:szCs w:val="28"/>
          <w:lang w:eastAsia="zh-CN"/>
        </w:rPr>
        <w:t>家具、用具、装具及动植物</w:t>
      </w:r>
      <w:r>
        <w:rPr>
          <w:rStyle w:val="17"/>
          <w:rFonts w:hint="eastAsia" w:ascii="仿宋_GB2312" w:hAnsi="宋体" w:eastAsia="仿宋_GB2312"/>
          <w:b w:val="0"/>
          <w:bCs w:val="0"/>
          <w:spacing w:val="-4"/>
          <w:sz w:val="28"/>
          <w:szCs w:val="28"/>
          <w:lang w:val="en-US" w:eastAsia="zh-CN"/>
        </w:rPr>
        <w:t>4.35万元，占固定资产净值的0.1%</w:t>
      </w:r>
      <w:r>
        <w:rPr>
          <w:rStyle w:val="17"/>
          <w:rFonts w:hint="eastAsia" w:ascii="仿宋_GB2312" w:hAnsi="宋体" w:eastAsia="仿宋_GB2312"/>
          <w:b w:val="0"/>
          <w:bCs w:val="0"/>
          <w:spacing w:val="-4"/>
          <w:sz w:val="28"/>
          <w:szCs w:val="28"/>
        </w:rPr>
        <w:t>）。</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本年度流动资产</w:t>
      </w:r>
      <w:r>
        <w:rPr>
          <w:rStyle w:val="17"/>
          <w:rFonts w:hint="eastAsia" w:ascii="仿宋_GB2312" w:hAnsi="宋体" w:eastAsia="仿宋_GB2312"/>
          <w:b w:val="0"/>
          <w:bCs w:val="0"/>
          <w:spacing w:val="-4"/>
          <w:sz w:val="28"/>
          <w:szCs w:val="28"/>
          <w:lang w:val="en-US" w:eastAsia="zh-CN"/>
        </w:rPr>
        <w:t>0</w:t>
      </w:r>
      <w:r>
        <w:rPr>
          <w:rStyle w:val="17"/>
          <w:rFonts w:hint="eastAsia" w:ascii="仿宋_GB2312" w:hAnsi="宋体" w:eastAsia="仿宋_GB2312"/>
          <w:b w:val="0"/>
          <w:bCs w:val="0"/>
          <w:spacing w:val="-4"/>
          <w:sz w:val="28"/>
          <w:szCs w:val="28"/>
        </w:rPr>
        <w:t>万元，比上年增加</w:t>
      </w:r>
      <w:r>
        <w:rPr>
          <w:rStyle w:val="17"/>
          <w:rFonts w:hint="eastAsia" w:ascii="仿宋_GB2312" w:hAnsi="宋体" w:eastAsia="仿宋_GB2312"/>
          <w:b w:val="0"/>
          <w:bCs w:val="0"/>
          <w:spacing w:val="-4"/>
          <w:sz w:val="28"/>
          <w:szCs w:val="28"/>
          <w:lang w:val="en-US" w:eastAsia="zh-CN"/>
        </w:rPr>
        <w:t>0</w:t>
      </w:r>
      <w:r>
        <w:rPr>
          <w:rStyle w:val="17"/>
          <w:rFonts w:hint="eastAsia" w:ascii="仿宋_GB2312" w:hAnsi="宋体" w:eastAsia="仿宋_GB2312"/>
          <w:b w:val="0"/>
          <w:bCs w:val="0"/>
          <w:spacing w:val="-4"/>
          <w:sz w:val="28"/>
          <w:szCs w:val="28"/>
        </w:rPr>
        <w:t>万元，原因是：</w:t>
      </w:r>
      <w:r>
        <w:rPr>
          <w:rStyle w:val="17"/>
          <w:rFonts w:hint="eastAsia" w:ascii="仿宋_GB2312" w:hAnsi="宋体" w:eastAsia="仿宋_GB2312"/>
          <w:b w:val="0"/>
          <w:bCs w:val="0"/>
          <w:spacing w:val="-4"/>
          <w:sz w:val="28"/>
          <w:szCs w:val="28"/>
          <w:lang w:eastAsia="zh-CN"/>
        </w:rPr>
        <w:t>无</w:t>
      </w:r>
      <w:r>
        <w:rPr>
          <w:rStyle w:val="17"/>
          <w:rFonts w:hint="eastAsia" w:ascii="仿宋_GB2312" w:hAnsi="宋体" w:eastAsia="仿宋_GB2312"/>
          <w:b w:val="0"/>
          <w:bCs w:val="0"/>
          <w:spacing w:val="-4"/>
          <w:sz w:val="28"/>
          <w:szCs w:val="28"/>
        </w:rPr>
        <w:t>流动资产。</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本年度固定资产</w:t>
      </w:r>
      <w:r>
        <w:rPr>
          <w:rStyle w:val="17"/>
          <w:rFonts w:hint="eastAsia" w:ascii="仿宋_GB2312" w:hAnsi="宋体" w:eastAsia="仿宋_GB2312"/>
          <w:b w:val="0"/>
          <w:bCs w:val="0"/>
          <w:spacing w:val="-4"/>
          <w:sz w:val="28"/>
          <w:szCs w:val="28"/>
          <w:lang w:val="en-US" w:eastAsia="zh-CN"/>
        </w:rPr>
        <w:t>5425</w:t>
      </w:r>
      <w:r>
        <w:rPr>
          <w:rStyle w:val="17"/>
          <w:rFonts w:hint="eastAsia" w:ascii="仿宋_GB2312" w:hAnsi="宋体" w:eastAsia="仿宋_GB2312"/>
          <w:b w:val="0"/>
          <w:bCs w:val="0"/>
          <w:spacing w:val="-4"/>
          <w:sz w:val="28"/>
          <w:szCs w:val="28"/>
        </w:rPr>
        <w:t>万元，比上年增加</w:t>
      </w:r>
      <w:r>
        <w:rPr>
          <w:rStyle w:val="17"/>
          <w:rFonts w:hint="eastAsia" w:ascii="仿宋_GB2312" w:hAnsi="宋体" w:eastAsia="仿宋_GB2312"/>
          <w:b w:val="0"/>
          <w:bCs w:val="0"/>
          <w:spacing w:val="-4"/>
          <w:sz w:val="28"/>
          <w:szCs w:val="28"/>
          <w:lang w:val="en-US" w:eastAsia="zh-CN"/>
        </w:rPr>
        <w:t>20.34</w:t>
      </w:r>
      <w:r>
        <w:rPr>
          <w:rStyle w:val="17"/>
          <w:rFonts w:hint="eastAsia" w:ascii="仿宋_GB2312" w:hAnsi="宋体" w:eastAsia="仿宋_GB2312"/>
          <w:b w:val="0"/>
          <w:bCs w:val="0"/>
          <w:spacing w:val="-4"/>
          <w:sz w:val="28"/>
          <w:szCs w:val="28"/>
        </w:rPr>
        <w:t>万元，原因是：</w:t>
      </w:r>
      <w:r>
        <w:rPr>
          <w:rStyle w:val="17"/>
          <w:rFonts w:hint="eastAsia" w:ascii="仿宋_GB2312" w:hAnsi="宋体" w:eastAsia="仿宋_GB2312"/>
          <w:b w:val="0"/>
          <w:bCs w:val="0"/>
          <w:spacing w:val="-4"/>
          <w:sz w:val="28"/>
          <w:szCs w:val="28"/>
          <w:lang w:eastAsia="zh-CN"/>
        </w:rPr>
        <w:t>项目指挥部固定资产划拨至发改委；粮食局固定资产划拨至发改委</w:t>
      </w:r>
      <w:r>
        <w:rPr>
          <w:rStyle w:val="17"/>
          <w:rFonts w:hint="eastAsia" w:ascii="仿宋_GB2312" w:hAnsi="宋体" w:eastAsia="仿宋_GB2312"/>
          <w:b w:val="0"/>
          <w:bCs w:val="0"/>
          <w:spacing w:val="-4"/>
          <w:sz w:val="28"/>
          <w:szCs w:val="28"/>
        </w:rPr>
        <w:t>。</w:t>
      </w:r>
    </w:p>
    <w:p>
      <w:pPr>
        <w:snapToGrid w:val="0"/>
        <w:spacing w:line="360" w:lineRule="auto"/>
        <w:ind w:firstLine="544" w:firstLineChars="200"/>
        <w:rPr>
          <w:rStyle w:val="17"/>
          <w:rFonts w:hint="eastAsia" w:ascii="仿宋_GB2312" w:hAnsi="宋体" w:eastAsia="仿宋_GB2312"/>
          <w:b w:val="0"/>
          <w:bCs w:val="0"/>
          <w:spacing w:val="-4"/>
          <w:sz w:val="28"/>
          <w:szCs w:val="28"/>
          <w:lang w:eastAsia="zh-CN"/>
        </w:rPr>
      </w:pPr>
      <w:r>
        <w:rPr>
          <w:rStyle w:val="17"/>
          <w:rFonts w:hint="eastAsia" w:ascii="仿宋_GB2312" w:hAnsi="宋体" w:eastAsia="仿宋_GB2312"/>
          <w:b w:val="0"/>
          <w:bCs w:val="0"/>
          <w:spacing w:val="-4"/>
          <w:sz w:val="28"/>
          <w:szCs w:val="28"/>
        </w:rPr>
        <w:t>实际在用固定资产</w:t>
      </w:r>
      <w:r>
        <w:rPr>
          <w:rStyle w:val="17"/>
          <w:rFonts w:hint="eastAsia" w:ascii="仿宋_GB2312" w:hAnsi="宋体" w:eastAsia="仿宋_GB2312"/>
          <w:b w:val="0"/>
          <w:bCs w:val="0"/>
          <w:spacing w:val="-4"/>
          <w:sz w:val="28"/>
          <w:szCs w:val="28"/>
          <w:lang w:val="en-US" w:eastAsia="zh-CN"/>
        </w:rPr>
        <w:t>5425</w:t>
      </w:r>
      <w:r>
        <w:rPr>
          <w:rStyle w:val="17"/>
          <w:rFonts w:hint="eastAsia" w:ascii="仿宋_GB2312" w:hAnsi="宋体" w:eastAsia="仿宋_GB2312"/>
          <w:b w:val="0"/>
          <w:bCs w:val="0"/>
          <w:spacing w:val="-4"/>
          <w:sz w:val="28"/>
          <w:szCs w:val="28"/>
        </w:rPr>
        <w:t>万元，固定资产利用率</w:t>
      </w:r>
      <w:r>
        <w:rPr>
          <w:rStyle w:val="17"/>
          <w:rFonts w:hint="eastAsia" w:ascii="仿宋_GB2312" w:hAnsi="宋体" w:eastAsia="仿宋_GB2312"/>
          <w:b w:val="0"/>
          <w:bCs w:val="0"/>
          <w:spacing w:val="-4"/>
          <w:sz w:val="28"/>
          <w:szCs w:val="28"/>
          <w:lang w:val="en-US" w:eastAsia="zh-CN"/>
        </w:rPr>
        <w:t>100</w:t>
      </w:r>
      <w:r>
        <w:rPr>
          <w:rStyle w:val="17"/>
          <w:rFonts w:hint="eastAsia" w:ascii="仿宋_GB2312" w:hAnsi="宋体" w:eastAsia="仿宋_GB2312"/>
          <w:b w:val="0"/>
          <w:bCs w:val="0"/>
          <w:spacing w:val="-4"/>
          <w:sz w:val="28"/>
          <w:szCs w:val="28"/>
        </w:rPr>
        <w:t>%</w:t>
      </w:r>
      <w:r>
        <w:rPr>
          <w:rStyle w:val="17"/>
          <w:rFonts w:hint="eastAsia" w:ascii="仿宋_GB2312" w:hAnsi="宋体" w:eastAsia="仿宋_GB2312"/>
          <w:b w:val="0"/>
          <w:bCs w:val="0"/>
          <w:spacing w:val="-4"/>
          <w:sz w:val="28"/>
          <w:szCs w:val="28"/>
          <w:lang w:eastAsia="zh-CN"/>
        </w:rPr>
        <w:t>。</w:t>
      </w:r>
    </w:p>
    <w:p>
      <w:pPr>
        <w:pStyle w:val="2"/>
        <w:rPr>
          <w:rFonts w:hint="eastAsia"/>
          <w:lang w:eastAsia="zh-CN"/>
        </w:rPr>
      </w:pPr>
    </w:p>
    <w:p>
      <w:pPr>
        <w:pStyle w:val="5"/>
        <w:spacing w:line="360" w:lineRule="auto"/>
        <w:rPr>
          <w:rStyle w:val="17"/>
          <w:rFonts w:ascii="仿宋" w:hAnsi="仿宋" w:eastAsia="仿宋"/>
          <w:b/>
          <w:bCs/>
        </w:rPr>
      </w:pPr>
      <w:bookmarkStart w:id="22" w:name="_Toc70450312"/>
      <w:r>
        <w:rPr>
          <w:rStyle w:val="17"/>
          <w:rFonts w:hint="eastAsia" w:ascii="仿宋" w:hAnsi="仿宋" w:eastAsia="仿宋"/>
          <w:b/>
          <w:bCs/>
        </w:rPr>
        <w:t>（二）资产管理情况</w:t>
      </w:r>
      <w:bookmarkEnd w:id="22"/>
    </w:p>
    <w:p>
      <w:pPr>
        <w:spacing w:line="360" w:lineRule="auto"/>
        <w:ind w:firstLine="544" w:firstLineChars="200"/>
        <w:rPr>
          <w:rStyle w:val="17"/>
          <w:rFonts w:ascii="仿宋_GB2312" w:hAnsi="宋体" w:eastAsia="仿宋_GB2312"/>
          <w:b w:val="0"/>
          <w:color w:val="auto"/>
          <w:spacing w:val="-4"/>
          <w:sz w:val="28"/>
          <w:szCs w:val="28"/>
        </w:rPr>
      </w:pPr>
      <w:r>
        <w:rPr>
          <w:rStyle w:val="17"/>
          <w:rFonts w:hint="eastAsia" w:ascii="仿宋_GB2312" w:hAnsi="宋体" w:eastAsia="仿宋_GB2312"/>
          <w:b w:val="0"/>
          <w:color w:val="auto"/>
          <w:spacing w:val="-4"/>
          <w:sz w:val="28"/>
          <w:szCs w:val="28"/>
          <w:lang w:val="en-US" w:eastAsia="zh-CN"/>
        </w:rPr>
        <w:t>1、</w:t>
      </w:r>
      <w:r>
        <w:rPr>
          <w:rStyle w:val="17"/>
          <w:rFonts w:hint="eastAsia" w:ascii="仿宋_GB2312" w:hAnsi="宋体" w:eastAsia="仿宋_GB2312"/>
          <w:b w:val="0"/>
          <w:color w:val="auto"/>
          <w:spacing w:val="-4"/>
          <w:sz w:val="28"/>
          <w:szCs w:val="28"/>
          <w:lang w:eastAsia="zh-CN"/>
        </w:rPr>
        <w:t>我单位</w:t>
      </w:r>
      <w:r>
        <w:rPr>
          <w:rStyle w:val="17"/>
          <w:rFonts w:hint="eastAsia" w:ascii="仿宋_GB2312" w:hAnsi="宋体" w:eastAsia="仿宋_GB2312"/>
          <w:b w:val="0"/>
          <w:color w:val="auto"/>
          <w:spacing w:val="-4"/>
          <w:sz w:val="28"/>
          <w:szCs w:val="28"/>
        </w:rP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7"/>
          <w:rFonts w:hint="eastAsia" w:ascii="仿宋_GB2312" w:hAnsi="宋体" w:eastAsia="仿宋_GB2312"/>
          <w:b w:val="0"/>
          <w:color w:val="auto"/>
          <w:spacing w:val="-4"/>
          <w:sz w:val="28"/>
          <w:szCs w:val="28"/>
        </w:rPr>
      </w:pPr>
      <w:r>
        <w:rPr>
          <w:rStyle w:val="17"/>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严格遵守国家的现金管理规定，正确及时核算和监督现金收支及结存情况，保证现金的安全。</w:t>
      </w:r>
    </w:p>
    <w:p>
      <w:pPr>
        <w:snapToGrid w:val="0"/>
        <w:spacing w:line="360" w:lineRule="auto"/>
        <w:ind w:firstLine="544" w:firstLineChars="200"/>
        <w:rPr>
          <w:rStyle w:val="17"/>
          <w:rFonts w:ascii="仿宋_GB2312" w:hAnsi="宋体" w:eastAsia="仿宋_GB2312"/>
          <w:b w:val="0"/>
          <w:spacing w:val="-4"/>
          <w:sz w:val="28"/>
          <w:szCs w:val="28"/>
        </w:rPr>
      </w:pPr>
    </w:p>
    <w:p>
      <w:pPr>
        <w:pStyle w:val="4"/>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5"/>
        <w:spacing w:line="360" w:lineRule="auto"/>
        <w:ind w:firstLine="643" w:firstLineChars="200"/>
        <w:rPr>
          <w:rStyle w:val="17"/>
          <w:rFonts w:ascii="仿宋" w:hAnsi="仿宋" w:eastAsia="仿宋"/>
          <w:b/>
          <w:bCs/>
        </w:rPr>
      </w:pPr>
      <w:bookmarkStart w:id="24" w:name="_Toc70450314"/>
      <w:r>
        <w:rPr>
          <w:rStyle w:val="17"/>
          <w:rFonts w:hint="eastAsia" w:ascii="仿宋" w:hAnsi="仿宋" w:eastAsia="仿宋"/>
          <w:b/>
          <w:bCs/>
        </w:rPr>
        <w:t>（一）经济效益评价</w:t>
      </w:r>
      <w:bookmarkEnd w:id="24"/>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年度我单位年初预算安排</w:t>
      </w:r>
      <w:r>
        <w:rPr>
          <w:rStyle w:val="17"/>
          <w:rFonts w:hint="eastAsia" w:ascii="仿宋_GB2312" w:hAnsi="宋体" w:eastAsia="仿宋_GB2312"/>
          <w:b w:val="0"/>
          <w:bCs w:val="0"/>
          <w:spacing w:val="-4"/>
          <w:sz w:val="28"/>
          <w:szCs w:val="28"/>
          <w:lang w:val="en-US" w:eastAsia="zh-CN"/>
        </w:rPr>
        <w:t>277.73</w:t>
      </w:r>
      <w:r>
        <w:rPr>
          <w:rStyle w:val="17"/>
          <w:rFonts w:hint="eastAsia" w:ascii="仿宋_GB2312" w:hAnsi="宋体" w:eastAsia="仿宋_GB2312"/>
          <w:b w:val="0"/>
          <w:bCs w:val="0"/>
          <w:spacing w:val="-4"/>
          <w:sz w:val="28"/>
          <w:szCs w:val="28"/>
        </w:rPr>
        <w:t>万元，年中调整</w:t>
      </w:r>
      <w:r>
        <w:rPr>
          <w:rStyle w:val="17"/>
          <w:rFonts w:hint="eastAsia" w:ascii="仿宋_GB2312" w:hAnsi="宋体" w:eastAsia="仿宋_GB2312"/>
          <w:b w:val="0"/>
          <w:bCs w:val="0"/>
          <w:spacing w:val="-4"/>
          <w:sz w:val="28"/>
          <w:szCs w:val="28"/>
          <w:lang w:val="en-US" w:eastAsia="zh-CN"/>
        </w:rPr>
        <w:t>233.54</w:t>
      </w:r>
      <w:r>
        <w:rPr>
          <w:rStyle w:val="17"/>
          <w:rFonts w:hint="eastAsia" w:ascii="仿宋_GB2312" w:hAnsi="宋体" w:eastAsia="仿宋_GB2312"/>
          <w:b w:val="0"/>
          <w:bCs w:val="0"/>
          <w:spacing w:val="-4"/>
          <w:sz w:val="28"/>
          <w:szCs w:val="28"/>
        </w:rPr>
        <w:t>万元，截止12月底支出</w:t>
      </w:r>
      <w:r>
        <w:rPr>
          <w:rStyle w:val="17"/>
          <w:rFonts w:hint="eastAsia" w:ascii="仿宋_GB2312" w:hAnsi="宋体" w:eastAsia="仿宋_GB2312"/>
          <w:b w:val="0"/>
          <w:bCs w:val="0"/>
          <w:spacing w:val="-4"/>
          <w:sz w:val="28"/>
          <w:szCs w:val="28"/>
          <w:lang w:val="en-US" w:eastAsia="zh-CN"/>
        </w:rPr>
        <w:t>511.27</w:t>
      </w:r>
      <w:r>
        <w:rPr>
          <w:rStyle w:val="17"/>
          <w:rFonts w:hint="eastAsia" w:ascii="仿宋_GB2312" w:hAnsi="宋体" w:eastAsia="仿宋_GB2312"/>
          <w:b w:val="0"/>
          <w:bCs w:val="0"/>
          <w:spacing w:val="-4"/>
          <w:sz w:val="28"/>
          <w:szCs w:val="28"/>
        </w:rPr>
        <w:t>万元，执行率</w:t>
      </w:r>
      <w:r>
        <w:rPr>
          <w:rStyle w:val="17"/>
          <w:rFonts w:hint="eastAsia" w:ascii="仿宋_GB2312" w:hAnsi="宋体" w:eastAsia="仿宋_GB2312"/>
          <w:b w:val="0"/>
          <w:bCs w:val="0"/>
          <w:spacing w:val="-4"/>
          <w:sz w:val="28"/>
          <w:szCs w:val="28"/>
          <w:lang w:val="en-US" w:eastAsia="zh-CN"/>
        </w:rPr>
        <w:t>100</w:t>
      </w:r>
      <w:r>
        <w:rPr>
          <w:rStyle w:val="17"/>
          <w:rFonts w:hint="eastAsia" w:ascii="仿宋_GB2312" w:hAnsi="宋体" w:eastAsia="仿宋_GB2312"/>
          <w:b w:val="0"/>
          <w:bCs w:val="0"/>
          <w:spacing w:val="-4"/>
          <w:sz w:val="28"/>
          <w:szCs w:val="28"/>
        </w:rPr>
        <w:t>%。</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1</w:t>
      </w:r>
      <w:r>
        <w:rPr>
          <w:rStyle w:val="17"/>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2</w:t>
      </w:r>
      <w:r>
        <w:rPr>
          <w:rStyle w:val="17"/>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、全年按照部门预算进行成本控制，全部控制在厉行节约指标数内。其他支出按财政部门下达的计划实施，全年没有项目超支（若有超支请详细说明情况）。</w:t>
      </w:r>
    </w:p>
    <w:p>
      <w:pPr>
        <w:pStyle w:val="5"/>
        <w:spacing w:line="360" w:lineRule="auto"/>
        <w:ind w:firstLine="643" w:firstLineChars="200"/>
        <w:rPr>
          <w:rStyle w:val="17"/>
          <w:rFonts w:ascii="仿宋" w:hAnsi="仿宋" w:eastAsia="仿宋"/>
          <w:b/>
          <w:bCs/>
        </w:rPr>
      </w:pPr>
      <w:bookmarkStart w:id="25" w:name="_Toc70450315"/>
      <w:r>
        <w:rPr>
          <w:rStyle w:val="17"/>
          <w:rFonts w:hint="eastAsia" w:ascii="仿宋" w:hAnsi="仿宋" w:eastAsia="仿宋"/>
          <w:b/>
          <w:bCs/>
        </w:rPr>
        <w:t>（二）效率性评价</w:t>
      </w:r>
      <w:bookmarkEnd w:id="25"/>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年，在</w:t>
      </w:r>
      <w:r>
        <w:rPr>
          <w:rStyle w:val="17"/>
          <w:rFonts w:hint="eastAsia" w:ascii="仿宋_GB2312" w:hAnsi="宋体" w:eastAsia="仿宋_GB2312"/>
          <w:b w:val="0"/>
          <w:bCs w:val="0"/>
          <w:spacing w:val="-4"/>
          <w:sz w:val="28"/>
          <w:szCs w:val="28"/>
          <w:lang w:eastAsia="zh-CN"/>
        </w:rPr>
        <w:t>县委、政府</w:t>
      </w:r>
      <w:r>
        <w:rPr>
          <w:rStyle w:val="17"/>
          <w:rFonts w:hint="eastAsia" w:ascii="仿宋_GB2312" w:hAnsi="宋体" w:eastAsia="仿宋_GB2312"/>
          <w:b w:val="0"/>
          <w:bCs w:val="0"/>
          <w:spacing w:val="-4"/>
          <w:sz w:val="28"/>
          <w:szCs w:val="28"/>
        </w:rPr>
        <w:t>的大力支持和正确领导下，</w:t>
      </w:r>
      <w:r>
        <w:rPr>
          <w:rStyle w:val="17"/>
          <w:rFonts w:hint="eastAsia" w:ascii="仿宋_GB2312" w:hAnsi="宋体" w:eastAsia="仿宋_GB2312"/>
          <w:b w:val="0"/>
          <w:bCs w:val="0"/>
          <w:spacing w:val="-4"/>
          <w:sz w:val="28"/>
          <w:szCs w:val="28"/>
          <w:lang w:eastAsia="zh-CN"/>
        </w:rPr>
        <w:t>我单位</w:t>
      </w:r>
      <w:r>
        <w:rPr>
          <w:rStyle w:val="17"/>
          <w:rFonts w:hint="eastAsia" w:ascii="仿宋_GB2312" w:hAnsi="宋体" w:eastAsia="仿宋_GB2312"/>
          <w:b w:val="0"/>
          <w:bCs w:val="0"/>
          <w:spacing w:val="-4"/>
          <w:sz w:val="28"/>
          <w:szCs w:val="28"/>
        </w:rPr>
        <w:t>迎难而上、务实重干，积极推动各项工作取得新的进展，为促进</w:t>
      </w:r>
      <w:r>
        <w:rPr>
          <w:rStyle w:val="17"/>
          <w:rFonts w:hint="eastAsia" w:ascii="仿宋_GB2312" w:hAnsi="宋体" w:eastAsia="仿宋_GB2312"/>
          <w:b w:val="0"/>
          <w:bCs w:val="0"/>
          <w:spacing w:val="-4"/>
          <w:sz w:val="28"/>
          <w:szCs w:val="28"/>
          <w:lang w:eastAsia="zh-CN"/>
        </w:rPr>
        <w:t>我县</w:t>
      </w:r>
      <w:r>
        <w:rPr>
          <w:rStyle w:val="17"/>
          <w:rFonts w:hint="eastAsia" w:ascii="仿宋_GB2312" w:hAnsi="宋体" w:eastAsia="仿宋_GB2312"/>
          <w:b w:val="0"/>
          <w:bCs w:val="0"/>
          <w:spacing w:val="-4"/>
          <w:sz w:val="28"/>
          <w:szCs w:val="28"/>
        </w:rPr>
        <w:t>经济持续健康发展与社会和谐稳定提供了有力的支撑和保障。</w:t>
      </w:r>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lang w:eastAsia="zh-CN"/>
        </w:rPr>
        <w:t>我单位</w:t>
      </w:r>
      <w:r>
        <w:rPr>
          <w:rStyle w:val="17"/>
          <w:rFonts w:hint="eastAsia" w:ascii="仿宋_GB2312" w:hAnsi="宋体" w:eastAsia="仿宋_GB2312"/>
          <w:b w:val="0"/>
          <w:bCs w:val="0"/>
          <w:spacing w:val="-4"/>
          <w:sz w:val="28"/>
          <w:szCs w:val="28"/>
        </w:rPr>
        <w:t>各项工作实施及资金使用情况均在绩效目标设定时限完成。</w:t>
      </w:r>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lang w:val="en-US" w:eastAsia="zh-CN"/>
        </w:rPr>
        <w:t>2、</w:t>
      </w:r>
      <w:r>
        <w:rPr>
          <w:rStyle w:val="17"/>
          <w:rFonts w:hint="eastAsia" w:ascii="仿宋_GB2312" w:hAnsi="宋体" w:eastAsia="仿宋_GB2312"/>
          <w:b w:val="0"/>
          <w:bCs w:val="0"/>
          <w:spacing w:val="-4"/>
          <w:sz w:val="28"/>
          <w:szCs w:val="28"/>
        </w:rPr>
        <w:t>预算安排的基本支出保障了</w:t>
      </w:r>
      <w:r>
        <w:rPr>
          <w:rStyle w:val="17"/>
          <w:rFonts w:hint="eastAsia" w:ascii="仿宋_GB2312" w:hAnsi="宋体" w:eastAsia="仿宋_GB2312"/>
          <w:b w:val="0"/>
          <w:bCs w:val="0"/>
          <w:spacing w:val="-4"/>
          <w:sz w:val="28"/>
          <w:szCs w:val="28"/>
          <w:lang w:eastAsia="zh-CN"/>
        </w:rPr>
        <w:t>我单位</w:t>
      </w:r>
      <w:r>
        <w:rPr>
          <w:rStyle w:val="17"/>
          <w:rFonts w:hint="eastAsia" w:ascii="仿宋_GB2312" w:hAnsi="宋体" w:eastAsia="仿宋_GB2312"/>
          <w:b w:val="0"/>
          <w:bCs w:val="0"/>
          <w:spacing w:val="-4"/>
          <w:sz w:val="28"/>
          <w:szCs w:val="28"/>
        </w:rPr>
        <w:t>正常的工作运转</w:t>
      </w:r>
      <w:r>
        <w:rPr>
          <w:rStyle w:val="17"/>
          <w:rFonts w:hint="eastAsia" w:ascii="仿宋_GB2312" w:hAnsi="宋体" w:eastAsia="仿宋_GB2312"/>
          <w:b w:val="0"/>
          <w:bCs w:val="0"/>
          <w:spacing w:val="-4"/>
          <w:sz w:val="28"/>
          <w:szCs w:val="28"/>
          <w:lang w:eastAsia="zh-CN"/>
        </w:rPr>
        <w:t>。</w:t>
      </w:r>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lang w:val="en-US" w:eastAsia="zh-CN"/>
        </w:rPr>
        <w:t>3、</w:t>
      </w:r>
      <w:r>
        <w:rPr>
          <w:rStyle w:val="17"/>
          <w:rFonts w:hint="eastAsia" w:ascii="仿宋_GB2312" w:hAnsi="宋体" w:eastAsia="仿宋_GB2312"/>
          <w:b w:val="0"/>
          <w:bCs w:val="0"/>
          <w:spacing w:val="-4"/>
          <w:sz w:val="28"/>
          <w:szCs w:val="28"/>
          <w:lang w:eastAsia="zh-CN"/>
        </w:rPr>
        <w:t>我单位</w:t>
      </w:r>
      <w:r>
        <w:rPr>
          <w:rStyle w:val="17"/>
          <w:rFonts w:hint="eastAsia" w:ascii="仿宋_GB2312" w:hAnsi="宋体" w:eastAsia="仿宋_GB2312"/>
          <w:b w:val="0"/>
          <w:bCs w:val="0"/>
          <w:spacing w:val="-4"/>
          <w:sz w:val="28"/>
          <w:szCs w:val="28"/>
        </w:rPr>
        <w:t>在执行上严格遵守各项财经纪律，严守法律底线、纪律底线、道德底线。</w:t>
      </w:r>
    </w:p>
    <w:p>
      <w:pPr>
        <w:spacing w:line="360" w:lineRule="auto"/>
        <w:ind w:firstLine="544" w:firstLineChars="200"/>
        <w:rPr>
          <w:rStyle w:val="17"/>
          <w:rFonts w:hint="default" w:ascii="仿宋_GB2312" w:hAnsi="宋体" w:eastAsia="仿宋_GB2312"/>
          <w:b w:val="0"/>
          <w:bCs w:val="0"/>
          <w:spacing w:val="-4"/>
          <w:sz w:val="28"/>
          <w:szCs w:val="28"/>
          <w:lang w:val="en-US"/>
        </w:rPr>
      </w:pPr>
      <w:r>
        <w:rPr>
          <w:rStyle w:val="17"/>
          <w:rFonts w:hint="eastAsia" w:ascii="仿宋_GB2312" w:hAnsi="宋体" w:eastAsia="仿宋_GB2312"/>
          <w:b w:val="0"/>
          <w:bCs w:val="0"/>
          <w:spacing w:val="-4"/>
          <w:sz w:val="28"/>
          <w:szCs w:val="28"/>
          <w:lang w:val="en-US" w:eastAsia="zh-CN"/>
        </w:rPr>
        <w:t>4、全力做好项目工作。一是抓好项目预算内投资。围绕国家支持方向和重点领域，共争取中央预算内项目25个，到中央预算内资金2.84亿元，较去年1.39亿元相比，增加1.45亿元，增长104.30%</w:t>
      </w:r>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lang w:val="en-US" w:eastAsia="zh-CN"/>
        </w:rPr>
        <w:t>5、2021年州直下达目标任务24.97亿元,同比增长95%</w:t>
      </w:r>
      <w:r>
        <w:rPr>
          <w:rStyle w:val="17"/>
          <w:rFonts w:hint="eastAsia" w:ascii="仿宋_GB2312" w:hAnsi="宋体" w:eastAsia="仿宋_GB2312"/>
          <w:b w:val="0"/>
          <w:bCs w:val="0"/>
          <w:spacing w:val="-4"/>
          <w:sz w:val="28"/>
          <w:szCs w:val="28"/>
        </w:rPr>
        <w:t>。</w:t>
      </w:r>
    </w:p>
    <w:p>
      <w:pPr>
        <w:pStyle w:val="21"/>
        <w:numPr>
          <w:ilvl w:val="0"/>
          <w:numId w:val="0"/>
        </w:numPr>
        <w:tabs>
          <w:tab w:val="left" w:pos="312"/>
        </w:tabs>
        <w:spacing w:line="360" w:lineRule="auto"/>
        <w:ind w:leftChars="200"/>
        <w:rPr>
          <w:rStyle w:val="17"/>
          <w:rFonts w:ascii="仿宋_GB2312" w:hAnsi="宋体" w:eastAsia="仿宋_GB2312"/>
          <w:b w:val="0"/>
          <w:bCs w:val="0"/>
          <w:spacing w:val="-4"/>
          <w:sz w:val="28"/>
          <w:szCs w:val="28"/>
          <w:highlight w:val="yellow"/>
        </w:rPr>
      </w:pPr>
    </w:p>
    <w:p>
      <w:pPr>
        <w:pStyle w:val="2"/>
      </w:pPr>
    </w:p>
    <w:p>
      <w:pPr>
        <w:pStyle w:val="5"/>
        <w:spacing w:line="360" w:lineRule="auto"/>
        <w:ind w:firstLine="643" w:firstLineChars="200"/>
        <w:rPr>
          <w:rStyle w:val="17"/>
          <w:rFonts w:ascii="仿宋" w:hAnsi="仿宋" w:eastAsia="仿宋"/>
          <w:b/>
          <w:bCs/>
        </w:rPr>
      </w:pPr>
      <w:bookmarkStart w:id="26" w:name="_Toc70450316"/>
      <w:r>
        <w:rPr>
          <w:rStyle w:val="17"/>
          <w:rFonts w:hint="eastAsia" w:ascii="仿宋" w:hAnsi="仿宋" w:eastAsia="仿宋"/>
          <w:b/>
          <w:bCs/>
        </w:rPr>
        <w:t>（三）有效性评价</w:t>
      </w:r>
      <w:bookmarkEnd w:id="26"/>
    </w:p>
    <w:p>
      <w:pPr>
        <w:spacing w:line="360" w:lineRule="auto"/>
        <w:ind w:firstLine="544" w:firstLineChars="200"/>
        <w:rPr>
          <w:rStyle w:val="17"/>
          <w:rFonts w:hint="eastAsia" w:ascii="仿宋_GB2312" w:hAnsi="宋体" w:eastAsia="仿宋_GB2312" w:cs="Times New Roman"/>
          <w:b w:val="0"/>
          <w:bCs w:val="0"/>
          <w:color w:val="auto"/>
          <w:spacing w:val="-4"/>
          <w:sz w:val="28"/>
          <w:szCs w:val="28"/>
          <w:lang w:eastAsia="zh-CN"/>
        </w:rPr>
      </w:pPr>
      <w:r>
        <w:rPr>
          <w:rStyle w:val="17"/>
          <w:rFonts w:hint="eastAsia" w:ascii="仿宋_GB2312" w:hAnsi="宋体" w:eastAsia="仿宋_GB2312" w:cs="Times New Roman"/>
          <w:b w:val="0"/>
          <w:bCs w:val="0"/>
          <w:color w:val="auto"/>
          <w:spacing w:val="-4"/>
          <w:sz w:val="28"/>
          <w:szCs w:val="28"/>
        </w:rPr>
        <w:t>202</w:t>
      </w:r>
      <w:r>
        <w:rPr>
          <w:rStyle w:val="17"/>
          <w:rFonts w:hint="eastAsia" w:ascii="仿宋_GB2312" w:hAnsi="宋体" w:eastAsia="仿宋_GB2312" w:cs="Times New Roman"/>
          <w:b w:val="0"/>
          <w:bCs w:val="0"/>
          <w:color w:val="auto"/>
          <w:spacing w:val="-4"/>
          <w:sz w:val="28"/>
          <w:szCs w:val="28"/>
          <w:lang w:val="en-US" w:eastAsia="zh-CN"/>
        </w:rPr>
        <w:t>1</w:t>
      </w:r>
      <w:r>
        <w:rPr>
          <w:rStyle w:val="17"/>
          <w:rFonts w:hint="eastAsia" w:ascii="仿宋_GB2312" w:hAnsi="宋体" w:eastAsia="仿宋_GB2312" w:cs="Times New Roman"/>
          <w:b w:val="0"/>
          <w:bCs w:val="0"/>
          <w:color w:val="auto"/>
          <w:spacing w:val="-4"/>
          <w:sz w:val="28"/>
          <w:szCs w:val="28"/>
        </w:rPr>
        <w:t>年部门支出的有效性主要体现在</w:t>
      </w:r>
      <w:r>
        <w:rPr>
          <w:rStyle w:val="17"/>
          <w:rFonts w:hint="eastAsia" w:ascii="仿宋_GB2312" w:hAnsi="宋体" w:eastAsia="仿宋_GB2312" w:cs="Times New Roman"/>
          <w:b w:val="0"/>
          <w:bCs w:val="0"/>
          <w:color w:val="auto"/>
          <w:spacing w:val="-4"/>
          <w:sz w:val="28"/>
          <w:szCs w:val="28"/>
          <w:lang w:eastAsia="zh-CN"/>
        </w:rPr>
        <w:t>我单位</w:t>
      </w:r>
      <w:r>
        <w:rPr>
          <w:rStyle w:val="17"/>
          <w:rFonts w:hint="eastAsia" w:ascii="仿宋_GB2312" w:hAnsi="宋体" w:eastAsia="仿宋_GB2312" w:cs="Times New Roman"/>
          <w:b w:val="0"/>
          <w:bCs w:val="0"/>
          <w:color w:val="auto"/>
          <w:spacing w:val="-4"/>
          <w:sz w:val="28"/>
          <w:szCs w:val="28"/>
        </w:rPr>
        <w:t>各项工作成效上，一是</w:t>
      </w:r>
      <w:r>
        <w:rPr>
          <w:rStyle w:val="17"/>
          <w:rFonts w:hint="eastAsia" w:ascii="仿宋_GB2312" w:hAnsi="宋体" w:eastAsia="仿宋_GB2312" w:cs="Times New Roman"/>
          <w:b w:val="0"/>
          <w:bCs w:val="0"/>
          <w:color w:val="auto"/>
          <w:spacing w:val="-4"/>
          <w:sz w:val="28"/>
          <w:szCs w:val="28"/>
          <w:lang w:eastAsia="zh-CN"/>
        </w:rPr>
        <w:t>我单位</w:t>
      </w:r>
      <w:r>
        <w:rPr>
          <w:rStyle w:val="17"/>
          <w:rFonts w:hint="eastAsia" w:ascii="仿宋_GB2312" w:hAnsi="宋体" w:eastAsia="仿宋_GB2312" w:cs="Times New Roman"/>
          <w:b w:val="0"/>
          <w:bCs w:val="0"/>
          <w:color w:val="auto"/>
          <w:spacing w:val="-4"/>
          <w:sz w:val="28"/>
          <w:szCs w:val="28"/>
        </w:rPr>
        <w:t>基本经费中人员经费支出、公用</w:t>
      </w:r>
      <w:r>
        <w:rPr>
          <w:rStyle w:val="17"/>
          <w:rFonts w:hint="eastAsia" w:ascii="仿宋_GB2312" w:hAnsi="宋体" w:eastAsia="仿宋_GB2312" w:cs="Times New Roman"/>
          <w:b w:val="0"/>
          <w:bCs w:val="0"/>
          <w:color w:val="auto"/>
          <w:spacing w:val="-4"/>
          <w:sz w:val="28"/>
          <w:szCs w:val="28"/>
          <w:lang w:eastAsia="zh-CN"/>
        </w:rPr>
        <w:t>经费</w:t>
      </w:r>
      <w:r>
        <w:rPr>
          <w:rStyle w:val="17"/>
          <w:rFonts w:hint="eastAsia" w:ascii="仿宋_GB2312" w:hAnsi="宋体" w:eastAsia="仿宋_GB2312" w:cs="Times New Roman"/>
          <w:b w:val="0"/>
          <w:bCs w:val="0"/>
          <w:color w:val="auto"/>
          <w:spacing w:val="-4"/>
          <w:sz w:val="28"/>
          <w:szCs w:val="28"/>
        </w:rPr>
        <w:t>支出严格执行政府的各项制度，</w:t>
      </w:r>
      <w:r>
        <w:rPr>
          <w:rStyle w:val="17"/>
          <w:rFonts w:hint="eastAsia" w:ascii="仿宋_GB2312" w:hAnsi="宋体" w:eastAsia="仿宋_GB2312" w:cs="Times New Roman"/>
          <w:b w:val="0"/>
          <w:bCs w:val="0"/>
          <w:color w:val="auto"/>
          <w:spacing w:val="-4"/>
          <w:sz w:val="28"/>
          <w:szCs w:val="28"/>
          <w:lang w:eastAsia="zh-CN"/>
        </w:rPr>
        <w:t>为</w:t>
      </w:r>
      <w:r>
        <w:rPr>
          <w:rStyle w:val="17"/>
          <w:rFonts w:hint="eastAsia" w:ascii="仿宋_GB2312" w:hAnsi="宋体" w:eastAsia="仿宋_GB2312" w:cs="Times New Roman"/>
          <w:b w:val="0"/>
          <w:bCs w:val="0"/>
          <w:color w:val="auto"/>
          <w:spacing w:val="-4"/>
          <w:sz w:val="28"/>
          <w:szCs w:val="28"/>
        </w:rPr>
        <w:t>全局工作正常运转</w:t>
      </w:r>
      <w:r>
        <w:rPr>
          <w:rStyle w:val="17"/>
          <w:rFonts w:hint="eastAsia" w:ascii="仿宋_GB2312" w:hAnsi="宋体" w:eastAsia="仿宋_GB2312" w:cs="Times New Roman"/>
          <w:b w:val="0"/>
          <w:bCs w:val="0"/>
          <w:color w:val="auto"/>
          <w:spacing w:val="-4"/>
          <w:sz w:val="28"/>
          <w:szCs w:val="28"/>
          <w:lang w:eastAsia="zh-CN"/>
        </w:rPr>
        <w:t>奠定夯实的基础。</w:t>
      </w:r>
      <w:r>
        <w:rPr>
          <w:rStyle w:val="17"/>
          <w:rFonts w:hint="eastAsia" w:ascii="仿宋_GB2312" w:hAnsi="宋体" w:eastAsia="仿宋_GB2312" w:cs="Times New Roman"/>
          <w:b w:val="0"/>
          <w:bCs w:val="0"/>
          <w:color w:val="auto"/>
          <w:spacing w:val="-4"/>
          <w:sz w:val="28"/>
          <w:szCs w:val="28"/>
        </w:rPr>
        <w:t>二是三公经费的使用</w:t>
      </w:r>
      <w:r>
        <w:rPr>
          <w:rStyle w:val="17"/>
          <w:rFonts w:hint="eastAsia" w:ascii="仿宋_GB2312" w:hAnsi="宋体" w:eastAsia="仿宋_GB2312" w:cs="Times New Roman"/>
          <w:b w:val="0"/>
          <w:bCs w:val="0"/>
          <w:color w:val="auto"/>
          <w:spacing w:val="-4"/>
          <w:sz w:val="28"/>
          <w:szCs w:val="28"/>
          <w:lang w:eastAsia="zh-CN"/>
        </w:rPr>
        <w:t>，</w:t>
      </w:r>
      <w:r>
        <w:rPr>
          <w:rStyle w:val="17"/>
          <w:rFonts w:hint="eastAsia" w:ascii="仿宋_GB2312" w:hAnsi="宋体" w:eastAsia="仿宋_GB2312" w:cs="Times New Roman"/>
          <w:b w:val="0"/>
          <w:bCs w:val="0"/>
          <w:color w:val="auto"/>
          <w:spacing w:val="-4"/>
          <w:sz w:val="28"/>
          <w:szCs w:val="28"/>
        </w:rPr>
        <w:t>严格控制在预算申报的范围内</w:t>
      </w:r>
      <w:r>
        <w:rPr>
          <w:rStyle w:val="17"/>
          <w:rFonts w:hint="eastAsia" w:ascii="仿宋_GB2312" w:hAnsi="宋体" w:eastAsia="仿宋_GB2312" w:cs="Times New Roman"/>
          <w:b w:val="0"/>
          <w:bCs w:val="0"/>
          <w:color w:val="auto"/>
          <w:spacing w:val="-4"/>
          <w:sz w:val="28"/>
          <w:szCs w:val="28"/>
          <w:lang w:eastAsia="zh-CN"/>
        </w:rPr>
        <w:t>，</w:t>
      </w:r>
      <w:r>
        <w:rPr>
          <w:rStyle w:val="17"/>
          <w:rFonts w:hint="eastAsia" w:ascii="仿宋_GB2312" w:hAnsi="宋体" w:eastAsia="仿宋_GB2312" w:cs="Times New Roman"/>
          <w:b w:val="0"/>
          <w:bCs w:val="0"/>
          <w:color w:val="auto"/>
          <w:spacing w:val="-4"/>
          <w:sz w:val="28"/>
          <w:szCs w:val="28"/>
        </w:rPr>
        <w:t>严格落实厉行节约的原则</w:t>
      </w:r>
      <w:r>
        <w:rPr>
          <w:rStyle w:val="17"/>
          <w:rFonts w:hint="eastAsia" w:ascii="仿宋_GB2312" w:hAnsi="宋体" w:eastAsia="仿宋_GB2312" w:cs="Times New Roman"/>
          <w:b w:val="0"/>
          <w:bCs w:val="0"/>
          <w:color w:val="auto"/>
          <w:spacing w:val="-4"/>
          <w:sz w:val="28"/>
          <w:szCs w:val="28"/>
          <w:lang w:eastAsia="zh-CN"/>
        </w:rPr>
        <w:t>，</w:t>
      </w:r>
      <w:r>
        <w:rPr>
          <w:rStyle w:val="17"/>
          <w:rFonts w:hint="eastAsia" w:ascii="仿宋_GB2312" w:hAnsi="宋体" w:eastAsia="仿宋_GB2312" w:cs="Times New Roman"/>
          <w:b w:val="0"/>
          <w:bCs w:val="0"/>
          <w:color w:val="auto"/>
          <w:spacing w:val="-4"/>
          <w:sz w:val="28"/>
          <w:szCs w:val="28"/>
        </w:rPr>
        <w:t>能力进一步提升</w:t>
      </w:r>
      <w:r>
        <w:rPr>
          <w:rStyle w:val="17"/>
          <w:rFonts w:hint="eastAsia" w:ascii="仿宋_GB2312" w:hAnsi="宋体" w:eastAsia="仿宋_GB2312" w:cs="Times New Roman"/>
          <w:b w:val="0"/>
          <w:bCs w:val="0"/>
          <w:color w:val="auto"/>
          <w:spacing w:val="-4"/>
          <w:sz w:val="28"/>
          <w:szCs w:val="28"/>
          <w:lang w:eastAsia="zh-CN"/>
        </w:rPr>
        <w:t>。</w:t>
      </w:r>
    </w:p>
    <w:p>
      <w:pPr>
        <w:snapToGrid w:val="0"/>
        <w:spacing w:line="360" w:lineRule="auto"/>
        <w:ind w:firstLine="544" w:firstLineChars="200"/>
        <w:rPr>
          <w:rStyle w:val="17"/>
          <w:rFonts w:hint="eastAsia" w:ascii="仿宋_GB2312" w:eastAsia="仿宋_GB2312" w:hAnsiTheme="minorEastAsia"/>
          <w:b w:val="0"/>
          <w:spacing w:val="-4"/>
          <w:sz w:val="28"/>
          <w:szCs w:val="28"/>
          <w:highlight w:val="none"/>
          <w:lang w:eastAsia="zh-CN"/>
        </w:rPr>
      </w:pPr>
      <w:r>
        <w:rPr>
          <w:rStyle w:val="17"/>
          <w:rFonts w:hint="eastAsia" w:ascii="仿宋_GB2312" w:eastAsia="仿宋_GB2312" w:hAnsiTheme="minorEastAsia"/>
          <w:b w:val="0"/>
          <w:spacing w:val="-4"/>
          <w:sz w:val="28"/>
          <w:szCs w:val="28"/>
          <w:highlight w:val="none"/>
          <w:lang w:eastAsia="zh-CN"/>
        </w:rPr>
        <w:t>特克斯县发展和改革委员会</w:t>
      </w:r>
      <w:r>
        <w:rPr>
          <w:rStyle w:val="17"/>
          <w:rFonts w:hint="eastAsia" w:ascii="仿宋_GB2312" w:eastAsia="仿宋_GB2312" w:hAnsiTheme="minorEastAsia"/>
          <w:b w:val="0"/>
          <w:spacing w:val="-4"/>
          <w:sz w:val="28"/>
          <w:szCs w:val="28"/>
          <w:highlight w:val="none"/>
        </w:rPr>
        <w:t>整体</w:t>
      </w:r>
      <w:r>
        <w:rPr>
          <w:rStyle w:val="17"/>
          <w:rFonts w:hint="eastAsia" w:ascii="仿宋_GB2312" w:eastAsia="仿宋_GB2312" w:hAnsiTheme="minorEastAsia"/>
          <w:b w:val="0"/>
          <w:spacing w:val="-4"/>
          <w:sz w:val="28"/>
          <w:szCs w:val="28"/>
          <w:highlight w:val="none"/>
          <w:lang w:eastAsia="zh-CN"/>
        </w:rPr>
        <w:t>支出</w:t>
      </w:r>
      <w:r>
        <w:rPr>
          <w:rStyle w:val="17"/>
          <w:rFonts w:hint="eastAsia" w:ascii="仿宋_GB2312" w:eastAsia="仿宋_GB2312" w:hAnsiTheme="minorEastAsia"/>
          <w:b w:val="0"/>
          <w:spacing w:val="-4"/>
          <w:sz w:val="28"/>
          <w:szCs w:val="28"/>
          <w:highlight w:val="none"/>
        </w:rPr>
        <w:t>绩效目标共设置一级指标</w:t>
      </w:r>
      <w:r>
        <w:rPr>
          <w:rStyle w:val="17"/>
          <w:rFonts w:hint="eastAsia" w:ascii="仿宋_GB2312" w:eastAsia="仿宋_GB2312" w:hAnsiTheme="minorEastAsia"/>
          <w:b w:val="0"/>
          <w:spacing w:val="-4"/>
          <w:sz w:val="28"/>
          <w:szCs w:val="28"/>
          <w:highlight w:val="none"/>
          <w:lang w:val="en-US" w:eastAsia="zh-CN"/>
        </w:rPr>
        <w:t>3</w:t>
      </w:r>
      <w:r>
        <w:rPr>
          <w:rStyle w:val="17"/>
          <w:rFonts w:hint="eastAsia" w:ascii="仿宋_GB2312" w:eastAsia="仿宋_GB2312" w:hAnsiTheme="minorEastAsia"/>
          <w:b w:val="0"/>
          <w:spacing w:val="-4"/>
          <w:sz w:val="28"/>
          <w:szCs w:val="28"/>
          <w:highlight w:val="none"/>
        </w:rPr>
        <w:t>个，二级指标</w:t>
      </w:r>
      <w:r>
        <w:rPr>
          <w:rStyle w:val="17"/>
          <w:rFonts w:hint="eastAsia" w:ascii="仿宋_GB2312" w:eastAsia="仿宋_GB2312" w:hAnsiTheme="minorEastAsia"/>
          <w:b w:val="0"/>
          <w:spacing w:val="-4"/>
          <w:sz w:val="28"/>
          <w:szCs w:val="28"/>
          <w:highlight w:val="none"/>
          <w:lang w:val="en-US" w:eastAsia="zh-CN"/>
        </w:rPr>
        <w:t>6</w:t>
      </w:r>
      <w:r>
        <w:rPr>
          <w:rStyle w:val="17"/>
          <w:rFonts w:hint="eastAsia" w:ascii="仿宋_GB2312" w:eastAsia="仿宋_GB2312" w:hAnsiTheme="minorEastAsia"/>
          <w:b w:val="0"/>
          <w:spacing w:val="-4"/>
          <w:sz w:val="28"/>
          <w:szCs w:val="28"/>
          <w:highlight w:val="none"/>
        </w:rPr>
        <w:t>个，三级指标</w:t>
      </w:r>
      <w:r>
        <w:rPr>
          <w:rStyle w:val="17"/>
          <w:rFonts w:hint="eastAsia" w:ascii="仿宋_GB2312" w:eastAsia="仿宋_GB2312" w:hAnsiTheme="minorEastAsia"/>
          <w:b w:val="0"/>
          <w:spacing w:val="-4"/>
          <w:sz w:val="28"/>
          <w:szCs w:val="28"/>
          <w:highlight w:val="none"/>
          <w:lang w:val="en-US" w:eastAsia="zh-CN"/>
        </w:rPr>
        <w:t>13</w:t>
      </w:r>
      <w:r>
        <w:rPr>
          <w:rStyle w:val="17"/>
          <w:rFonts w:hint="eastAsia" w:ascii="仿宋_GB2312" w:eastAsia="仿宋_GB2312" w:hAnsiTheme="minorEastAsia"/>
          <w:b w:val="0"/>
          <w:spacing w:val="-4"/>
          <w:sz w:val="28"/>
          <w:szCs w:val="28"/>
          <w:highlight w:val="none"/>
        </w:rPr>
        <w:t>个，详细说明如下</w:t>
      </w:r>
      <w:r>
        <w:rPr>
          <w:rStyle w:val="17"/>
          <w:rFonts w:hint="eastAsia" w:ascii="仿宋_GB2312" w:eastAsia="仿宋_GB2312" w:hAnsiTheme="minorEastAsia"/>
          <w:b w:val="0"/>
          <w:spacing w:val="-4"/>
          <w:sz w:val="28"/>
          <w:szCs w:val="28"/>
          <w:highlight w:val="none"/>
          <w:lang w:eastAsia="zh-CN"/>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ascii="仿宋_GB2312" w:hAnsi="宋体" w:eastAsia="仿宋_GB2312"/>
          <w:b w:val="0"/>
          <w:spacing w:val="-4"/>
          <w:sz w:val="28"/>
          <w:szCs w:val="28"/>
          <w:highlight w:val="none"/>
        </w:rPr>
        <w:t>1</w:t>
      </w:r>
      <w:r>
        <w:rPr>
          <w:rStyle w:val="17"/>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指标1：特克斯县发改委在职人数，指标值：≥26，实际完成值：26，指标完成率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hint="eastAsia"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w:t>
      </w:r>
      <w:r>
        <w:rPr>
          <w:rStyle w:val="17"/>
          <w:rFonts w:ascii="仿宋_GB2312" w:hAnsi="宋体" w:eastAsia="仿宋_GB2312"/>
          <w:b w:val="0"/>
          <w:spacing w:val="-4"/>
          <w:sz w:val="28"/>
          <w:szCs w:val="28"/>
          <w:highlight w:val="none"/>
        </w:rPr>
        <w:t>2</w:t>
      </w:r>
      <w:r>
        <w:rPr>
          <w:rStyle w:val="17"/>
          <w:rFonts w:hint="eastAsia" w:ascii="仿宋_GB2312" w:hAnsi="宋体" w:eastAsia="仿宋_GB2312"/>
          <w:b w:val="0"/>
          <w:spacing w:val="-4"/>
          <w:sz w:val="28"/>
          <w:szCs w:val="28"/>
          <w:highlight w:val="none"/>
          <w:lang w:eastAsia="zh-CN"/>
        </w:rPr>
        <w:t>：</w:t>
      </w:r>
      <w:r>
        <w:rPr>
          <w:rStyle w:val="17"/>
          <w:rFonts w:hint="eastAsia" w:ascii="仿宋_GB2312" w:hAnsi="宋体" w:eastAsia="仿宋_GB2312"/>
          <w:b w:val="0"/>
          <w:spacing w:val="-4"/>
          <w:sz w:val="28"/>
          <w:szCs w:val="28"/>
          <w:highlight w:val="none"/>
        </w:rPr>
        <w:t>特克斯县发改委退休人数，指标值：≥43，实际完成值：43，指标完成率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hint="eastAsia"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w:t>
      </w:r>
      <w:r>
        <w:rPr>
          <w:rStyle w:val="17"/>
          <w:rFonts w:hint="eastAsia" w:ascii="仿宋_GB2312" w:hAnsi="宋体" w:eastAsia="仿宋_GB2312"/>
          <w:b w:val="0"/>
          <w:spacing w:val="-4"/>
          <w:sz w:val="28"/>
          <w:szCs w:val="28"/>
          <w:highlight w:val="none"/>
          <w:lang w:val="en-US" w:eastAsia="zh-CN"/>
        </w:rPr>
        <w:t>3</w:t>
      </w:r>
      <w:r>
        <w:rPr>
          <w:rStyle w:val="17"/>
          <w:rFonts w:hint="eastAsia" w:ascii="仿宋_GB2312" w:hAnsi="宋体" w:eastAsia="仿宋_GB2312"/>
          <w:b w:val="0"/>
          <w:spacing w:val="-4"/>
          <w:sz w:val="28"/>
          <w:szCs w:val="28"/>
          <w:highlight w:val="none"/>
        </w:rPr>
        <w:t>：工资及社保发放次数，指标值：≥12，实际完成值：12，指标完成率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hint="eastAsia"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w:t>
      </w:r>
      <w:r>
        <w:rPr>
          <w:rStyle w:val="17"/>
          <w:rFonts w:hint="eastAsia" w:ascii="仿宋_GB2312" w:hAnsi="宋体" w:eastAsia="仿宋_GB2312"/>
          <w:b w:val="0"/>
          <w:spacing w:val="-4"/>
          <w:sz w:val="28"/>
          <w:szCs w:val="28"/>
          <w:highlight w:val="none"/>
          <w:lang w:val="en-US" w:eastAsia="zh-CN"/>
        </w:rPr>
        <w:t>4</w:t>
      </w:r>
      <w:r>
        <w:rPr>
          <w:rStyle w:val="17"/>
          <w:rFonts w:hint="eastAsia" w:ascii="仿宋_GB2312" w:hAnsi="宋体" w:eastAsia="仿宋_GB2312"/>
          <w:b w:val="0"/>
          <w:spacing w:val="-4"/>
          <w:sz w:val="28"/>
          <w:szCs w:val="28"/>
          <w:highlight w:val="none"/>
        </w:rPr>
        <w:t>：公务用车保障数量，指标值：≥2，实际完成值：2，指标完成率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r>
        <w:rPr>
          <w:rStyle w:val="17"/>
          <w:rFonts w:hint="eastAsia" w:ascii="仿宋_GB2312" w:hAnsi="宋体" w:eastAsia="仿宋_GB2312"/>
          <w:b w:val="0"/>
          <w:spacing w:val="-4"/>
          <w:sz w:val="28"/>
          <w:szCs w:val="28"/>
          <w:highlight w:val="none"/>
          <w:lang w:eastAsia="zh-CN"/>
        </w:rPr>
        <w:t>。</w:t>
      </w:r>
    </w:p>
    <w:p>
      <w:pPr>
        <w:rPr>
          <w:highlight w:val="none"/>
        </w:rPr>
      </w:pP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ascii="仿宋_GB2312" w:hAnsi="宋体" w:eastAsia="仿宋_GB2312"/>
          <w:b w:val="0"/>
          <w:spacing w:val="-4"/>
          <w:sz w:val="28"/>
          <w:szCs w:val="28"/>
          <w:highlight w:val="none"/>
        </w:rPr>
        <w:t>2</w:t>
      </w:r>
      <w:r>
        <w:rPr>
          <w:rStyle w:val="17"/>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指标1：确保全局人员工资及社保正常发放，指标值：</w:t>
      </w:r>
      <w:r>
        <w:rPr>
          <w:rStyle w:val="17"/>
          <w:rFonts w:hint="eastAsia" w:ascii="仿宋_GB2312" w:hAnsi="宋体" w:eastAsia="仿宋_GB2312"/>
          <w:b w:val="0"/>
          <w:spacing w:val="-4"/>
          <w:sz w:val="28"/>
          <w:szCs w:val="28"/>
          <w:highlight w:val="none"/>
          <w:lang w:val="en-US" w:eastAsia="zh-CN"/>
        </w:rPr>
        <w:t>=</w:t>
      </w:r>
      <w:r>
        <w:rPr>
          <w:rStyle w:val="17"/>
          <w:rFonts w:hint="eastAsia" w:ascii="仿宋_GB2312" w:hAnsi="宋体" w:eastAsia="仿宋_GB2312"/>
          <w:b w:val="0"/>
          <w:spacing w:val="-4"/>
          <w:sz w:val="28"/>
          <w:szCs w:val="28"/>
          <w:highlight w:val="none"/>
        </w:rPr>
        <w:t>100%，实际完成值：100%，指标完成率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hint="eastAsia" w:ascii="仿宋_GB2312" w:hAnsi="宋体" w:eastAsia="仿宋_GB2312"/>
          <w:b w:val="0"/>
          <w:spacing w:val="-4"/>
          <w:sz w:val="28"/>
          <w:szCs w:val="28"/>
          <w:highlight w:val="none"/>
          <w:lang w:eastAsia="zh-CN"/>
        </w:rPr>
      </w:pPr>
      <w:r>
        <w:rPr>
          <w:rStyle w:val="17"/>
          <w:rFonts w:hint="eastAsia" w:ascii="仿宋_GB2312" w:hAnsi="宋体" w:eastAsia="仿宋_GB2312"/>
          <w:b w:val="0"/>
          <w:spacing w:val="-4"/>
          <w:sz w:val="28"/>
          <w:szCs w:val="28"/>
          <w:highlight w:val="none"/>
        </w:rPr>
        <w:t>指标</w:t>
      </w:r>
      <w:r>
        <w:rPr>
          <w:rStyle w:val="17"/>
          <w:rFonts w:ascii="仿宋_GB2312" w:hAnsi="宋体" w:eastAsia="仿宋_GB2312"/>
          <w:b w:val="0"/>
          <w:spacing w:val="-4"/>
          <w:sz w:val="28"/>
          <w:szCs w:val="28"/>
          <w:highlight w:val="none"/>
        </w:rPr>
        <w:t>2</w:t>
      </w:r>
      <w:r>
        <w:rPr>
          <w:rStyle w:val="17"/>
          <w:rFonts w:hint="eastAsia" w:ascii="仿宋_GB2312" w:hAnsi="宋体" w:eastAsia="仿宋_GB2312"/>
          <w:b w:val="0"/>
          <w:spacing w:val="-4"/>
          <w:sz w:val="28"/>
          <w:szCs w:val="28"/>
          <w:highlight w:val="none"/>
        </w:rPr>
        <w:t>：保障全局日常工作运转、提高工作效率和工作质量，指标值：</w:t>
      </w:r>
      <w:r>
        <w:rPr>
          <w:rStyle w:val="17"/>
          <w:rFonts w:hint="eastAsia" w:ascii="仿宋_GB2312" w:hAnsi="宋体" w:eastAsia="仿宋_GB2312"/>
          <w:b w:val="0"/>
          <w:spacing w:val="-4"/>
          <w:sz w:val="28"/>
          <w:szCs w:val="28"/>
          <w:highlight w:val="none"/>
          <w:lang w:val="en-US" w:eastAsia="zh-CN"/>
        </w:rPr>
        <w:t>=</w:t>
      </w:r>
      <w:r>
        <w:rPr>
          <w:rStyle w:val="17"/>
          <w:rFonts w:hint="eastAsia" w:ascii="仿宋_GB2312" w:hAnsi="宋体" w:eastAsia="仿宋_GB2312"/>
          <w:b w:val="0"/>
          <w:spacing w:val="-4"/>
          <w:sz w:val="28"/>
          <w:szCs w:val="28"/>
          <w:highlight w:val="none"/>
        </w:rPr>
        <w:t>100%，实际完成值：100%，指标完成率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r>
        <w:rPr>
          <w:rStyle w:val="17"/>
          <w:rFonts w:hint="eastAsia" w:ascii="仿宋_GB2312" w:hAnsi="宋体" w:eastAsia="仿宋_GB2312"/>
          <w:b w:val="0"/>
          <w:spacing w:val="-4"/>
          <w:sz w:val="28"/>
          <w:szCs w:val="28"/>
          <w:highlight w:val="none"/>
          <w:lang w:eastAsia="zh-CN"/>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ascii="仿宋_GB2312" w:hAnsi="宋体" w:eastAsia="仿宋_GB2312"/>
          <w:b w:val="0"/>
          <w:spacing w:val="-4"/>
          <w:sz w:val="28"/>
          <w:szCs w:val="28"/>
          <w:highlight w:val="none"/>
        </w:rPr>
        <w:t>3</w:t>
      </w:r>
      <w:r>
        <w:rPr>
          <w:rStyle w:val="17"/>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7"/>
          <w:rFonts w:hint="eastAsia" w:ascii="仿宋_GB2312" w:hAnsi="宋体" w:eastAsia="仿宋_GB2312"/>
          <w:b w:val="0"/>
          <w:spacing w:val="-4"/>
          <w:sz w:val="28"/>
          <w:szCs w:val="28"/>
          <w:highlight w:val="none"/>
          <w:lang w:eastAsia="zh-CN"/>
        </w:rPr>
      </w:pPr>
      <w:r>
        <w:rPr>
          <w:rStyle w:val="17"/>
          <w:rFonts w:hint="eastAsia" w:ascii="仿宋_GB2312" w:hAnsi="宋体" w:eastAsia="仿宋_GB2312"/>
          <w:b w:val="0"/>
          <w:spacing w:val="-4"/>
          <w:sz w:val="28"/>
          <w:szCs w:val="28"/>
          <w:highlight w:val="none"/>
        </w:rPr>
        <w:t>指标1：预算拨付及时率，指标值：</w:t>
      </w:r>
      <w:r>
        <w:rPr>
          <w:rStyle w:val="17"/>
          <w:rFonts w:hint="eastAsia" w:ascii="仿宋_GB2312" w:hAnsi="宋体" w:eastAsia="仿宋_GB2312"/>
          <w:b w:val="0"/>
          <w:spacing w:val="-4"/>
          <w:sz w:val="28"/>
          <w:szCs w:val="28"/>
          <w:highlight w:val="none"/>
          <w:lang w:val="en-US" w:eastAsia="zh-CN"/>
        </w:rPr>
        <w:t>=</w:t>
      </w:r>
      <w:r>
        <w:rPr>
          <w:rStyle w:val="17"/>
          <w:rFonts w:hint="eastAsia" w:ascii="仿宋_GB2312" w:hAnsi="宋体" w:eastAsia="仿宋_GB2312"/>
          <w:b w:val="0"/>
          <w:spacing w:val="-4"/>
          <w:sz w:val="28"/>
          <w:szCs w:val="28"/>
          <w:highlight w:val="none"/>
        </w:rPr>
        <w:t>100%，实际完成值：100%，指标完成率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r>
        <w:rPr>
          <w:rStyle w:val="17"/>
          <w:rFonts w:hint="eastAsia" w:ascii="仿宋_GB2312" w:hAnsi="宋体" w:eastAsia="仿宋_GB2312"/>
          <w:b w:val="0"/>
          <w:spacing w:val="-4"/>
          <w:sz w:val="28"/>
          <w:szCs w:val="28"/>
          <w:highlight w:val="none"/>
          <w:lang w:eastAsia="zh-CN"/>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ascii="仿宋_GB2312" w:hAnsi="宋体" w:eastAsia="仿宋_GB2312"/>
          <w:b w:val="0"/>
          <w:spacing w:val="-4"/>
          <w:sz w:val="28"/>
          <w:szCs w:val="28"/>
          <w:highlight w:val="none"/>
        </w:rPr>
        <w:t>4</w:t>
      </w:r>
      <w:r>
        <w:rPr>
          <w:rStyle w:val="17"/>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7"/>
          <w:rFonts w:hint="eastAsia"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指标1：人员工资福利支出，指标值：</w:t>
      </w:r>
      <w:r>
        <w:rPr>
          <w:rStyle w:val="17"/>
          <w:rFonts w:hint="eastAsia" w:ascii="仿宋_GB2312" w:hAnsi="宋体" w:eastAsia="仿宋_GB2312"/>
          <w:b w:val="0"/>
          <w:spacing w:val="-4"/>
          <w:sz w:val="28"/>
          <w:szCs w:val="28"/>
          <w:highlight w:val="none"/>
          <w:lang w:val="en-US" w:eastAsia="zh-CN"/>
        </w:rPr>
        <w:t>375.08万元</w:t>
      </w:r>
      <w:r>
        <w:rPr>
          <w:rStyle w:val="17"/>
          <w:rFonts w:hint="eastAsia" w:ascii="仿宋_GB2312" w:hAnsi="宋体" w:eastAsia="仿宋_GB2312"/>
          <w:b w:val="0"/>
          <w:spacing w:val="-4"/>
          <w:sz w:val="28"/>
          <w:szCs w:val="28"/>
          <w:highlight w:val="none"/>
        </w:rPr>
        <w:t>，实际完成值：</w:t>
      </w:r>
      <w:r>
        <w:rPr>
          <w:rStyle w:val="17"/>
          <w:rFonts w:hint="eastAsia" w:ascii="仿宋_GB2312" w:hAnsi="宋体" w:eastAsia="仿宋_GB2312"/>
          <w:b w:val="0"/>
          <w:spacing w:val="-4"/>
          <w:sz w:val="28"/>
          <w:szCs w:val="28"/>
          <w:highlight w:val="none"/>
          <w:lang w:val="en-US" w:eastAsia="zh-CN"/>
        </w:rPr>
        <w:t>375.08</w:t>
      </w:r>
      <w:r>
        <w:rPr>
          <w:rStyle w:val="17"/>
          <w:rFonts w:hint="eastAsia" w:ascii="仿宋_GB2312" w:hAnsi="宋体" w:eastAsia="仿宋_GB2312"/>
          <w:b w:val="0"/>
          <w:spacing w:val="-4"/>
          <w:sz w:val="28"/>
          <w:szCs w:val="28"/>
          <w:highlight w:val="none"/>
        </w:rPr>
        <w:t>万元，指标完成率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hint="eastAsia"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指标2：人员商品和服务支出，指标值：</w:t>
      </w:r>
      <w:r>
        <w:rPr>
          <w:rStyle w:val="17"/>
          <w:rFonts w:hint="eastAsia" w:ascii="仿宋_GB2312" w:hAnsi="宋体" w:eastAsia="仿宋_GB2312"/>
          <w:b w:val="0"/>
          <w:spacing w:val="-4"/>
          <w:sz w:val="28"/>
          <w:szCs w:val="28"/>
          <w:highlight w:val="none"/>
          <w:lang w:val="en-US" w:eastAsia="zh-CN"/>
        </w:rPr>
        <w:t>124.41万元</w:t>
      </w:r>
      <w:r>
        <w:rPr>
          <w:rStyle w:val="17"/>
          <w:rFonts w:hint="eastAsia" w:ascii="仿宋_GB2312" w:hAnsi="宋体" w:eastAsia="仿宋_GB2312"/>
          <w:b w:val="0"/>
          <w:spacing w:val="-4"/>
          <w:sz w:val="28"/>
          <w:szCs w:val="28"/>
          <w:highlight w:val="none"/>
        </w:rPr>
        <w:t>，实际完成值：</w:t>
      </w:r>
      <w:r>
        <w:rPr>
          <w:rStyle w:val="17"/>
          <w:rFonts w:hint="eastAsia" w:ascii="仿宋_GB2312" w:hAnsi="宋体" w:eastAsia="仿宋_GB2312"/>
          <w:b w:val="0"/>
          <w:spacing w:val="-4"/>
          <w:sz w:val="28"/>
          <w:szCs w:val="28"/>
          <w:highlight w:val="none"/>
          <w:lang w:val="en-US" w:eastAsia="zh-CN"/>
        </w:rPr>
        <w:t>124.41</w:t>
      </w:r>
      <w:r>
        <w:rPr>
          <w:rStyle w:val="17"/>
          <w:rFonts w:hint="eastAsia" w:ascii="仿宋_GB2312" w:hAnsi="宋体" w:eastAsia="仿宋_GB2312"/>
          <w:b w:val="0"/>
          <w:spacing w:val="-4"/>
          <w:sz w:val="28"/>
          <w:szCs w:val="28"/>
          <w:highlight w:val="none"/>
        </w:rPr>
        <w:t>万元，指标完成率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hint="eastAsia" w:ascii="仿宋_GB2312" w:hAnsi="宋体" w:eastAsia="仿宋_GB2312"/>
          <w:b w:val="0"/>
          <w:spacing w:val="-4"/>
          <w:sz w:val="28"/>
          <w:szCs w:val="28"/>
          <w:highlight w:val="none"/>
          <w:lang w:eastAsia="zh-CN"/>
        </w:rPr>
      </w:pPr>
      <w:r>
        <w:rPr>
          <w:rStyle w:val="17"/>
          <w:rFonts w:hint="eastAsia" w:ascii="仿宋_GB2312" w:hAnsi="宋体" w:eastAsia="仿宋_GB2312"/>
          <w:b w:val="0"/>
          <w:spacing w:val="-4"/>
          <w:sz w:val="28"/>
          <w:szCs w:val="28"/>
          <w:highlight w:val="none"/>
        </w:rPr>
        <w:t>指标</w:t>
      </w:r>
      <w:r>
        <w:rPr>
          <w:rStyle w:val="17"/>
          <w:rFonts w:hint="eastAsia" w:ascii="仿宋_GB2312" w:hAnsi="宋体" w:eastAsia="仿宋_GB2312"/>
          <w:b w:val="0"/>
          <w:spacing w:val="-4"/>
          <w:sz w:val="28"/>
          <w:szCs w:val="28"/>
          <w:highlight w:val="none"/>
          <w:lang w:val="en-US" w:eastAsia="zh-CN"/>
        </w:rPr>
        <w:t>3</w:t>
      </w:r>
      <w:r>
        <w:rPr>
          <w:rStyle w:val="17"/>
          <w:rFonts w:hint="eastAsia" w:ascii="仿宋_GB2312" w:hAnsi="宋体" w:eastAsia="仿宋_GB2312"/>
          <w:b w:val="0"/>
          <w:spacing w:val="-4"/>
          <w:sz w:val="28"/>
          <w:szCs w:val="28"/>
          <w:highlight w:val="none"/>
        </w:rPr>
        <w:t>：对个人和家庭补助支出，指标值：</w:t>
      </w:r>
      <w:r>
        <w:rPr>
          <w:rStyle w:val="17"/>
          <w:rFonts w:hint="eastAsia" w:ascii="仿宋_GB2312" w:hAnsi="宋体" w:eastAsia="仿宋_GB2312"/>
          <w:b w:val="0"/>
          <w:spacing w:val="-4"/>
          <w:sz w:val="28"/>
          <w:szCs w:val="28"/>
          <w:highlight w:val="none"/>
          <w:lang w:val="en-US" w:eastAsia="zh-CN"/>
        </w:rPr>
        <w:t>11.79万元</w:t>
      </w:r>
      <w:r>
        <w:rPr>
          <w:rStyle w:val="17"/>
          <w:rFonts w:hint="eastAsia" w:ascii="仿宋_GB2312" w:hAnsi="宋体" w:eastAsia="仿宋_GB2312"/>
          <w:b w:val="0"/>
          <w:spacing w:val="-4"/>
          <w:sz w:val="28"/>
          <w:szCs w:val="28"/>
          <w:highlight w:val="none"/>
        </w:rPr>
        <w:t>，实际完成值：</w:t>
      </w:r>
      <w:r>
        <w:rPr>
          <w:rStyle w:val="17"/>
          <w:rFonts w:hint="eastAsia" w:ascii="仿宋_GB2312" w:hAnsi="宋体" w:eastAsia="仿宋_GB2312"/>
          <w:b w:val="0"/>
          <w:spacing w:val="-4"/>
          <w:sz w:val="28"/>
          <w:szCs w:val="28"/>
          <w:highlight w:val="none"/>
          <w:lang w:val="en-US" w:eastAsia="zh-CN"/>
        </w:rPr>
        <w:t>11.79</w:t>
      </w:r>
      <w:r>
        <w:rPr>
          <w:rStyle w:val="17"/>
          <w:rFonts w:hint="eastAsia" w:ascii="仿宋_GB2312" w:hAnsi="宋体" w:eastAsia="仿宋_GB2312"/>
          <w:b w:val="0"/>
          <w:spacing w:val="-4"/>
          <w:sz w:val="28"/>
          <w:szCs w:val="28"/>
          <w:highlight w:val="none"/>
        </w:rPr>
        <w:t>万元，指标完成率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r>
        <w:rPr>
          <w:rStyle w:val="17"/>
          <w:rFonts w:hint="eastAsia" w:ascii="仿宋_GB2312" w:hAnsi="宋体" w:eastAsia="仿宋_GB2312"/>
          <w:b w:val="0"/>
          <w:spacing w:val="-4"/>
          <w:sz w:val="28"/>
          <w:szCs w:val="28"/>
          <w:highlight w:val="none"/>
          <w:lang w:eastAsia="zh-CN"/>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lang w:val="en-US" w:eastAsia="zh-CN"/>
        </w:rPr>
        <w:t>5</w:t>
      </w:r>
      <w:r>
        <w:rPr>
          <w:rStyle w:val="17"/>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7"/>
          <w:rFonts w:hint="eastAsia" w:ascii="仿宋_GB2312" w:hAnsi="宋体" w:eastAsia="仿宋_GB2312"/>
          <w:b w:val="0"/>
          <w:spacing w:val="-4"/>
          <w:sz w:val="28"/>
          <w:szCs w:val="28"/>
          <w:highlight w:val="none"/>
          <w:lang w:eastAsia="zh-CN"/>
        </w:rPr>
      </w:pPr>
      <w:r>
        <w:rPr>
          <w:rStyle w:val="17"/>
          <w:rFonts w:hint="eastAsia" w:ascii="仿宋_GB2312" w:hAnsi="宋体" w:eastAsia="仿宋_GB2312"/>
          <w:b w:val="0"/>
          <w:spacing w:val="-4"/>
          <w:sz w:val="28"/>
          <w:szCs w:val="28"/>
          <w:highlight w:val="none"/>
        </w:rPr>
        <w:t>指标1：提高党政机关执行力和公信力，指标值：逐步提高，实际完成值：逐步提高，指标完成率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r>
        <w:rPr>
          <w:rStyle w:val="17"/>
          <w:rFonts w:hint="eastAsia" w:ascii="仿宋_GB2312" w:hAnsi="宋体" w:eastAsia="仿宋_GB2312"/>
          <w:b w:val="0"/>
          <w:spacing w:val="-4"/>
          <w:sz w:val="28"/>
          <w:szCs w:val="28"/>
          <w:highlight w:val="none"/>
          <w:lang w:eastAsia="zh-CN"/>
        </w:rPr>
        <w:t>。</w:t>
      </w:r>
    </w:p>
    <w:p>
      <w:pPr>
        <w:snapToGrid w:val="0"/>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lang w:val="en-US" w:eastAsia="zh-CN"/>
        </w:rPr>
        <w:t>6</w:t>
      </w:r>
      <w:r>
        <w:rPr>
          <w:rStyle w:val="17"/>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7"/>
          <w:rFonts w:hint="eastAsia" w:ascii="仿宋_GB2312" w:hAnsi="宋体" w:eastAsia="仿宋_GB2312"/>
          <w:b w:val="0"/>
          <w:spacing w:val="-4"/>
          <w:sz w:val="28"/>
          <w:szCs w:val="28"/>
          <w:highlight w:val="none"/>
          <w:lang w:eastAsia="zh-CN"/>
        </w:rPr>
      </w:pPr>
      <w:r>
        <w:rPr>
          <w:rStyle w:val="17"/>
          <w:rFonts w:hint="eastAsia" w:ascii="仿宋_GB2312" w:hAnsi="宋体" w:eastAsia="仿宋_GB2312"/>
          <w:b w:val="0"/>
          <w:spacing w:val="-4"/>
          <w:sz w:val="28"/>
          <w:szCs w:val="28"/>
          <w:highlight w:val="none"/>
        </w:rPr>
        <w:t>指标1：不断提升满意度，指标值：≥95%，实际完成值：</w:t>
      </w:r>
      <w:r>
        <w:rPr>
          <w:rStyle w:val="17"/>
          <w:rFonts w:hint="eastAsia" w:ascii="仿宋_GB2312" w:hAnsi="宋体" w:eastAsia="仿宋_GB2312"/>
          <w:b w:val="0"/>
          <w:spacing w:val="-4"/>
          <w:sz w:val="28"/>
          <w:szCs w:val="28"/>
          <w:highlight w:val="none"/>
          <w:lang w:val="en-US" w:eastAsia="zh-CN"/>
        </w:rPr>
        <w:t>95</w:t>
      </w:r>
      <w:r>
        <w:rPr>
          <w:rStyle w:val="17"/>
          <w:rFonts w:hint="eastAsia" w:ascii="仿宋_GB2312" w:hAnsi="宋体" w:eastAsia="仿宋_GB2312"/>
          <w:b w:val="0"/>
          <w:spacing w:val="-4"/>
          <w:sz w:val="28"/>
          <w:szCs w:val="28"/>
          <w:highlight w:val="none"/>
        </w:rPr>
        <w:t>%，指标完成率</w:t>
      </w:r>
      <w:r>
        <w:rPr>
          <w:rStyle w:val="17"/>
          <w:rFonts w:hint="eastAsia" w:ascii="仿宋_GB2312" w:hAnsi="宋体" w:eastAsia="仿宋_GB2312"/>
          <w:b w:val="0"/>
          <w:spacing w:val="-4"/>
          <w:sz w:val="28"/>
          <w:szCs w:val="28"/>
          <w:highlight w:val="none"/>
          <w:lang w:val="en-US" w:eastAsia="zh-CN"/>
        </w:rPr>
        <w:t>100</w:t>
      </w:r>
      <w:r>
        <w:rPr>
          <w:rStyle w:val="17"/>
          <w:rFonts w:hint="eastAsia" w:ascii="仿宋_GB2312" w:hAnsi="宋体" w:eastAsia="仿宋_GB2312"/>
          <w:b w:val="0"/>
          <w:spacing w:val="-4"/>
          <w:sz w:val="28"/>
          <w:szCs w:val="28"/>
          <w:highlight w:val="none"/>
        </w:rPr>
        <w:t>%</w:t>
      </w:r>
      <w:r>
        <w:rPr>
          <w:rStyle w:val="17"/>
          <w:rFonts w:hint="eastAsia" w:ascii="仿宋_GB2312" w:hAnsi="宋体" w:eastAsia="仿宋_GB2312"/>
          <w:b w:val="0"/>
          <w:spacing w:val="-4"/>
          <w:sz w:val="28"/>
          <w:szCs w:val="28"/>
          <w:highlight w:val="none"/>
          <w:lang w:eastAsia="zh-CN"/>
        </w:rPr>
        <w:t>。</w:t>
      </w:r>
    </w:p>
    <w:p>
      <w:pPr>
        <w:spacing w:line="360" w:lineRule="auto"/>
        <w:ind w:firstLine="544" w:firstLineChars="200"/>
        <w:rPr>
          <w:rStyle w:val="17"/>
          <w:rFonts w:ascii="仿宋_GB2312" w:hAnsi="宋体" w:eastAsia="仿宋_GB2312"/>
          <w:b w:val="0"/>
          <w:bCs w:val="0"/>
          <w:color w:val="FF0000"/>
          <w:spacing w:val="-4"/>
          <w:sz w:val="28"/>
          <w:szCs w:val="28"/>
          <w:highlight w:val="none"/>
        </w:rPr>
      </w:pPr>
    </w:p>
    <w:p>
      <w:pPr>
        <w:pStyle w:val="4"/>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pStyle w:val="13"/>
        <w:widowControl/>
        <w:spacing w:before="40" w:beforeAutospacing="0" w:after="0" w:afterAutospacing="0" w:line="520" w:lineRule="atLeast"/>
        <w:ind w:firstLine="643" w:firstLineChars="200"/>
        <w:jc w:val="both"/>
        <w:rPr>
          <w:rStyle w:val="17"/>
          <w:rFonts w:hint="eastAsia" w:ascii="仿宋_GB2312" w:hAnsi="宋体" w:eastAsia="仿宋_GB2312" w:cs="Times New Roman"/>
          <w:b/>
          <w:bCs w:val="0"/>
          <w:spacing w:val="-4"/>
          <w:kern w:val="2"/>
          <w:sz w:val="32"/>
          <w:szCs w:val="32"/>
          <w:lang w:val="en-US" w:eastAsia="zh-CN" w:bidi="ar-SA"/>
        </w:rPr>
      </w:pPr>
      <w:r>
        <w:rPr>
          <w:rStyle w:val="17"/>
          <w:rFonts w:hint="eastAsia" w:ascii="仿宋" w:hAnsi="仿宋" w:eastAsia="仿宋" w:cs="Times New Roman"/>
          <w:kern w:val="2"/>
          <w:sz w:val="32"/>
          <w:szCs w:val="32"/>
          <w:lang w:val="en-US" w:eastAsia="zh-CN" w:bidi="ar-SA"/>
        </w:rPr>
        <w:t>(一)预算执行存在偏差</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13"/>
        <w:widowControl/>
        <w:spacing w:before="40" w:beforeAutospacing="0" w:after="0" w:afterAutospacing="0" w:line="520" w:lineRule="atLeast"/>
        <w:ind w:firstLine="643" w:firstLineChars="200"/>
        <w:jc w:val="both"/>
        <w:rPr>
          <w:rStyle w:val="17"/>
          <w:rFonts w:hint="eastAsia" w:ascii="仿宋" w:hAnsi="仿宋" w:eastAsia="仿宋" w:cs="Times New Roman"/>
          <w:kern w:val="2"/>
          <w:sz w:val="32"/>
          <w:szCs w:val="32"/>
          <w:lang w:val="en-US" w:eastAsia="zh-CN" w:bidi="ar-SA"/>
        </w:rPr>
      </w:pPr>
      <w:r>
        <w:rPr>
          <w:rStyle w:val="17"/>
          <w:rFonts w:hint="eastAsia" w:ascii="仿宋" w:hAnsi="仿宋" w:eastAsia="仿宋" w:cs="Times New Roman"/>
          <w:kern w:val="2"/>
          <w:sz w:val="32"/>
          <w:szCs w:val="32"/>
          <w:lang w:val="en-US" w:eastAsia="zh-CN" w:bidi="ar-SA"/>
        </w:rPr>
        <w:t>（二）预算绩效管理水平仍有欠缺</w:t>
      </w:r>
    </w:p>
    <w:p>
      <w:pPr>
        <w:pStyle w:val="13"/>
        <w:widowControl/>
        <w:numPr>
          <w:ilvl w:val="0"/>
          <w:numId w:val="0"/>
        </w:numPr>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在2021年预算绩效管理工作中，存在“重投入轻管理、重支出轻绩效”的情况，对全面实施预算绩效管理的要求认识还不到位；同时预算绩效管理也是一项新工作，面对专业人手不足、绩效管理水平欠缺的情况下，坚持“滚石上山”，提升的空间还是很大。</w:t>
      </w:r>
    </w:p>
    <w:p>
      <w:pPr>
        <w:pStyle w:val="13"/>
        <w:widowControl/>
        <w:spacing w:before="40" w:beforeAutospacing="0" w:after="0" w:afterAutospacing="0" w:line="520" w:lineRule="atLeast"/>
        <w:ind w:firstLine="643" w:firstLineChars="200"/>
        <w:jc w:val="both"/>
        <w:rPr>
          <w:rStyle w:val="17"/>
          <w:rFonts w:hint="eastAsia" w:ascii="仿宋" w:hAnsi="仿宋" w:eastAsia="仿宋" w:cs="Times New Roman"/>
          <w:kern w:val="2"/>
          <w:sz w:val="32"/>
          <w:szCs w:val="32"/>
          <w:lang w:val="en-US" w:eastAsia="zh-CN" w:bidi="ar-SA"/>
        </w:rPr>
      </w:pPr>
      <w:r>
        <w:rPr>
          <w:rStyle w:val="17"/>
          <w:rFonts w:hint="eastAsia" w:ascii="仿宋" w:hAnsi="仿宋" w:eastAsia="仿宋" w:cs="Times New Roman"/>
          <w:kern w:val="2"/>
          <w:sz w:val="32"/>
          <w:szCs w:val="32"/>
          <w:lang w:val="en-US" w:eastAsia="zh-CN" w:bidi="ar-SA"/>
        </w:rPr>
        <w:t>（三）固定资产管理水平有待提高</w:t>
      </w:r>
    </w:p>
    <w:p>
      <w:pPr>
        <w:pStyle w:val="13"/>
        <w:widowControl/>
        <w:spacing w:before="40" w:beforeAutospacing="0" w:after="0" w:afterAutospacing="0" w:line="520" w:lineRule="atLeast"/>
        <w:ind w:firstLine="544" w:firstLineChars="200"/>
        <w:jc w:val="both"/>
        <w:rPr>
          <w:rFonts w:ascii="仿宋_GB2312" w:hAnsi="仿宋_GB2312" w:eastAsia="仿宋_GB2312" w:cs="仿宋_GB2312"/>
          <w:sz w:val="32"/>
          <w:szCs w:val="32"/>
          <w:lang w:bidi="ar"/>
        </w:rPr>
      </w:pPr>
      <w:r>
        <w:rPr>
          <w:rStyle w:val="17"/>
          <w:rFonts w:hint="eastAsia" w:ascii="仿宋_GB2312" w:hAnsi="宋体" w:eastAsia="仿宋_GB2312" w:cs="Times New Roman"/>
          <w:b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spacing w:line="360" w:lineRule="auto"/>
        <w:rPr>
          <w:lang w:bidi="ar"/>
        </w:rPr>
      </w:pPr>
    </w:p>
    <w:p>
      <w:pPr>
        <w:pStyle w:val="4"/>
        <w:spacing w:line="360" w:lineRule="auto"/>
        <w:rPr>
          <w:lang w:bidi="ar"/>
        </w:rPr>
      </w:pPr>
      <w:bookmarkStart w:id="28" w:name="_Toc70450318"/>
      <w:r>
        <w:rPr>
          <w:rFonts w:hint="eastAsia" w:ascii="仿宋" w:hAnsi="仿宋" w:eastAsia="仿宋"/>
          <w:sz w:val="36"/>
          <w:szCs w:val="36"/>
          <w:lang w:bidi="ar"/>
        </w:rPr>
        <w:t>七、改进措施和建议</w:t>
      </w:r>
      <w:bookmarkEnd w:id="28"/>
    </w:p>
    <w:p>
      <w:pPr>
        <w:pStyle w:val="5"/>
        <w:spacing w:line="360" w:lineRule="auto"/>
        <w:rPr>
          <w:rStyle w:val="17"/>
          <w:rFonts w:ascii="仿宋" w:hAnsi="仿宋" w:eastAsia="仿宋"/>
          <w:b/>
          <w:bCs/>
        </w:rPr>
      </w:pPr>
      <w:bookmarkStart w:id="29" w:name="_Toc70450319"/>
      <w:r>
        <w:rPr>
          <w:rStyle w:val="17"/>
          <w:rFonts w:hint="eastAsia" w:ascii="仿宋" w:hAnsi="仿宋" w:eastAsia="仿宋"/>
          <w:b/>
          <w:bCs/>
        </w:rPr>
        <w:t>（一）改进措施</w:t>
      </w:r>
      <w:bookmarkEnd w:id="29"/>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1、加强新行政单位会计制度和新预算法学习培训、规范账务处理，加强新《预算法》、《行政单位会计制度》 、《会计法》 、《行政单位财务规则》等学习培训,规范部门预算收支核算。</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2、制定和完善基本支出、项目支出等各项支出标准,严格按项目进度执行预算, 增强预算的约束力和严肃性。</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3、落实预算执行分析,及时了解预算执行差异,合理调整、纠正预算执行偏差，切实提高部门预算收支管理水平。尽可能地做到决算与预算相衔接。</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4、完善管理制度,进-步加强资产管理。严格按照《固定资产管理办法》的规定，加强固定资产管理,及时登记、更新台账，加强资产卡片管理,对各类实物资产进行全面盘点,确保账账、账实相符。</w:t>
      </w:r>
    </w:p>
    <w:p>
      <w:pPr>
        <w:spacing w:line="360" w:lineRule="auto"/>
        <w:rPr>
          <w:rFonts w:ascii="仿宋" w:hAnsi="仿宋" w:eastAsia="仿宋"/>
          <w:sz w:val="22"/>
          <w:szCs w:val="28"/>
        </w:rPr>
      </w:pPr>
    </w:p>
    <w:p>
      <w:pPr>
        <w:pStyle w:val="5"/>
        <w:numPr>
          <w:ilvl w:val="0"/>
          <w:numId w:val="1"/>
        </w:numPr>
        <w:spacing w:line="360" w:lineRule="auto"/>
      </w:pPr>
      <w:bookmarkStart w:id="30" w:name="_Toc70450320"/>
      <w:r>
        <w:rPr>
          <w:rStyle w:val="17"/>
          <w:rFonts w:hint="eastAsia" w:ascii="仿宋" w:hAnsi="仿宋" w:eastAsia="仿宋"/>
          <w:b/>
          <w:bCs/>
        </w:rPr>
        <w:t>建议</w:t>
      </w:r>
      <w:bookmarkEnd w:id="30"/>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1、加强学习。进一步明确如何参照考核体系，科学合理设定绩效目标，充分发挥预算绩效管理工作效用。</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2、财务上，会计核算要更加详细，为本单位各项工作的开展、总结、评估提供有效数据资料支撑,为各项业务工作更好的开展提供帮助。</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3、从源头上强化对专项资金预算管理。实行专项资金预算管理，结合单位实际, 按轻重缓急统筹安排编制预算,提高预算编制科学性和合理性,优化资金结构。</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4、按时间进度分解资金使用计划。专项资金的使用，要事前做计划，事中进行控制，事后总结提高。合理安排资金使用,充分体现资金投向的目标和效益。</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rPr>
          <w:rStyle w:val="17"/>
          <w:rFonts w:hint="eastAsia" w:ascii="仿宋" w:hAnsi="仿宋" w:eastAsia="仿宋"/>
          <w:b/>
          <w:bCs/>
        </w:rPr>
      </w:pPr>
    </w:p>
    <w:p>
      <w:pPr>
        <w:rPr>
          <w:rStyle w:val="17"/>
          <w:rFonts w:hint="eastAsia" w:ascii="仿宋" w:hAnsi="仿宋" w:eastAsia="仿宋"/>
          <w:b/>
          <w:bCs/>
        </w:rPr>
      </w:pPr>
    </w:p>
    <w:p>
      <w:pPr>
        <w:pStyle w:val="2"/>
        <w:rPr>
          <w:rStyle w:val="17"/>
          <w:rFonts w:hint="eastAsia" w:ascii="仿宋" w:hAnsi="仿宋" w:eastAsia="仿宋"/>
          <w:b/>
          <w:bCs/>
        </w:rPr>
      </w:pPr>
    </w:p>
    <w:p>
      <w:pPr>
        <w:rPr>
          <w:rStyle w:val="17"/>
          <w:rFonts w:hint="eastAsia" w:ascii="仿宋" w:hAnsi="仿宋" w:eastAsia="仿宋"/>
          <w:b/>
          <w:bCs/>
        </w:rPr>
      </w:pPr>
    </w:p>
    <w:p>
      <w:pPr>
        <w:pStyle w:val="2"/>
        <w:rPr>
          <w:rStyle w:val="17"/>
          <w:rFonts w:hint="eastAsia" w:ascii="仿宋" w:hAnsi="仿宋" w:eastAsia="仿宋"/>
          <w:b/>
          <w:bCs/>
        </w:rPr>
      </w:pPr>
    </w:p>
    <w:p>
      <w:pPr>
        <w:rPr>
          <w:rStyle w:val="17"/>
          <w:rFonts w:hint="eastAsia" w:ascii="仿宋" w:hAnsi="仿宋" w:eastAsia="仿宋"/>
          <w:b/>
          <w:bCs/>
        </w:rPr>
      </w:pPr>
    </w:p>
    <w:p>
      <w:pPr>
        <w:pStyle w:val="2"/>
        <w:rPr>
          <w:rStyle w:val="17"/>
          <w:rFonts w:hint="eastAsia" w:ascii="仿宋" w:hAnsi="仿宋" w:eastAsia="仿宋"/>
          <w:b/>
          <w:bCs/>
        </w:rPr>
      </w:pPr>
    </w:p>
    <w:p>
      <w:pPr>
        <w:rPr>
          <w:rFonts w:hint="eastAsia"/>
        </w:rPr>
      </w:pPr>
    </w:p>
    <w:p>
      <w:pPr>
        <w:rPr>
          <w:rStyle w:val="17"/>
          <w:rFonts w:hint="eastAsia" w:ascii="仿宋" w:hAnsi="仿宋" w:eastAsia="仿宋"/>
          <w:b/>
          <w:bCs/>
        </w:rPr>
      </w:pPr>
    </w:p>
    <w:p>
      <w:pPr>
        <w:pStyle w:val="2"/>
        <w:rPr>
          <w:rStyle w:val="17"/>
          <w:rFonts w:hint="eastAsia" w:ascii="仿宋" w:hAnsi="仿宋" w:eastAsia="仿宋"/>
          <w:b/>
          <w:bCs/>
        </w:rPr>
      </w:pPr>
    </w:p>
    <w:p>
      <w:pPr>
        <w:rPr>
          <w:rFonts w:hint="eastAsia"/>
        </w:rPr>
      </w:pPr>
    </w:p>
    <w:p>
      <w:pPr>
        <w:rPr>
          <w:rStyle w:val="17"/>
          <w:rFonts w:hint="eastAsia" w:ascii="仿宋" w:hAnsi="仿宋" w:eastAsia="仿宋"/>
          <w:b/>
          <w:bCs/>
        </w:rPr>
      </w:pPr>
    </w:p>
    <w:p>
      <w:pPr>
        <w:pStyle w:val="4"/>
        <w:numPr>
          <w:ilvl w:val="0"/>
          <w:numId w:val="2"/>
        </w:numPr>
        <w:spacing w:line="360" w:lineRule="auto"/>
        <w:rPr>
          <w:rStyle w:val="17"/>
          <w:rFonts w:hint="eastAsia" w:ascii="仿宋" w:hAnsi="仿宋" w:eastAsia="仿宋"/>
          <w:b/>
          <w:bCs/>
          <w:sz w:val="36"/>
          <w:szCs w:val="36"/>
        </w:rPr>
      </w:pPr>
      <w:r>
        <w:rPr>
          <w:rStyle w:val="17"/>
          <w:rFonts w:hint="eastAsia" w:ascii="仿宋" w:hAnsi="仿宋" w:eastAsia="仿宋"/>
          <w:b/>
          <w:bCs/>
          <w:sz w:val="36"/>
          <w:szCs w:val="36"/>
        </w:rPr>
        <w:t>附表</w:t>
      </w:r>
      <w:r>
        <w:rPr>
          <w:rStyle w:val="17"/>
          <w:rFonts w:hint="eastAsia" w:ascii="仿宋" w:hAnsi="仿宋" w:eastAsia="仿宋"/>
          <w:b w:val="0"/>
          <w:bCs w:val="0"/>
          <w:spacing w:val="-4"/>
          <w:sz w:val="36"/>
          <w:szCs w:val="36"/>
        </w:rPr>
        <w:t>：</w:t>
      </w:r>
      <w:bookmarkStart w:id="31" w:name="_Hlk70450148"/>
      <w:r>
        <w:rPr>
          <w:rStyle w:val="17"/>
          <w:rFonts w:hint="eastAsia" w:ascii="仿宋" w:hAnsi="仿宋" w:eastAsia="仿宋"/>
          <w:b/>
          <w:bCs/>
          <w:sz w:val="36"/>
          <w:szCs w:val="36"/>
        </w:rPr>
        <w:t>《部门整体支出绩效目标自评表》</w:t>
      </w:r>
      <w:bookmarkEnd w:id="31"/>
    </w:p>
    <w:tbl>
      <w:tblPr>
        <w:tblStyle w:val="15"/>
        <w:tblpPr w:leftFromText="180" w:rightFromText="180" w:vertAnchor="text" w:horzAnchor="page" w:tblpX="1482" w:tblpY="761"/>
        <w:tblOverlap w:val="never"/>
        <w:tblW w:w="949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0"/>
        <w:gridCol w:w="1416"/>
        <w:gridCol w:w="1656"/>
        <w:gridCol w:w="1320"/>
        <w:gridCol w:w="1032"/>
        <w:gridCol w:w="480"/>
        <w:gridCol w:w="1212"/>
        <w:gridCol w:w="225"/>
        <w:gridCol w:w="653"/>
        <w:gridCol w:w="6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6" w:hRule="atLeast"/>
        </w:trPr>
        <w:tc>
          <w:tcPr>
            <w:tcW w:w="9493"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493" w:type="dxa"/>
            <w:gridSpan w:val="10"/>
            <w:tcBorders>
              <w:top w:val="nil"/>
              <w:left w:val="nil"/>
              <w:bottom w:val="single" w:color="auto"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22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部门（单位）名称</w:t>
            </w:r>
          </w:p>
        </w:tc>
        <w:tc>
          <w:tcPr>
            <w:tcW w:w="726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8"/>
                <w:szCs w:val="28"/>
                <w:u w:val="none"/>
                <w:lang w:val="en-US" w:eastAsia="zh-CN" w:bidi="ar"/>
              </w:rPr>
              <w:t>特克斯县发展和改革委员会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任务名称</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主要内容</w:t>
            </w: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77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10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4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人员保障</w:t>
            </w:r>
          </w:p>
        </w:tc>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用于保障部门单位人员发放工资福利支出及个人和家庭补助</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386.86</w:t>
            </w:r>
          </w:p>
        </w:tc>
        <w:tc>
          <w:tcPr>
            <w:tcW w:w="10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386.86</w:t>
            </w:r>
          </w:p>
        </w:tc>
        <w:tc>
          <w:tcPr>
            <w:tcW w:w="4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386.86</w:t>
            </w:r>
          </w:p>
        </w:tc>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386.86</w:t>
            </w:r>
          </w:p>
        </w:tc>
        <w:tc>
          <w:tcPr>
            <w:tcW w:w="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运转保障</w:t>
            </w:r>
          </w:p>
        </w:tc>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用于日常办公费、三公经费、取暖费及其他商品和服务经费</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124.41</w:t>
            </w:r>
          </w:p>
        </w:tc>
        <w:tc>
          <w:tcPr>
            <w:tcW w:w="10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124.41</w:t>
            </w:r>
          </w:p>
        </w:tc>
        <w:tc>
          <w:tcPr>
            <w:tcW w:w="4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124.41</w:t>
            </w:r>
          </w:p>
        </w:tc>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124.41</w:t>
            </w:r>
          </w:p>
        </w:tc>
        <w:tc>
          <w:tcPr>
            <w:tcW w:w="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30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金额合计</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511.27</w:t>
            </w:r>
          </w:p>
        </w:tc>
        <w:tc>
          <w:tcPr>
            <w:tcW w:w="10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511.27</w:t>
            </w:r>
          </w:p>
        </w:tc>
        <w:tc>
          <w:tcPr>
            <w:tcW w:w="4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4"/>
                <w:szCs w:val="24"/>
                <w:u w:val="none"/>
                <w:lang w:val="en-US" w:eastAsia="zh-CN"/>
              </w:rPr>
            </w:pPr>
            <w:r>
              <w:rPr>
                <w:rFonts w:hint="eastAsia" w:ascii="Times New Roman" w:hAnsi="Times New Roman" w:eastAsia="宋体" w:cs="Times New Roman"/>
                <w:i w:val="0"/>
                <w:iCs w:val="0"/>
                <w:color w:val="000000"/>
                <w:sz w:val="24"/>
                <w:szCs w:val="24"/>
                <w:u w:val="none"/>
                <w:lang w:val="en-US" w:eastAsia="zh-CN"/>
              </w:rPr>
              <w:t>0</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511.27</w:t>
            </w:r>
          </w:p>
        </w:tc>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511.27</w:t>
            </w:r>
          </w:p>
        </w:tc>
        <w:tc>
          <w:tcPr>
            <w:tcW w:w="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4"/>
                <w:szCs w:val="24"/>
                <w:u w:val="none"/>
                <w:lang w:val="en-US" w:eastAsia="zh-CN"/>
              </w:rPr>
            </w:pPr>
            <w:r>
              <w:rPr>
                <w:rFonts w:hint="eastAsia" w:ascii="Times New Roman" w:hAnsi="Times New Roman" w:eastAsia="宋体" w:cs="Times New Roman"/>
                <w:i w:val="0"/>
                <w:iCs w:val="0"/>
                <w:color w:val="000000"/>
                <w:sz w:val="24"/>
                <w:szCs w:val="24"/>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年度总体目标</w:t>
            </w:r>
          </w:p>
        </w:tc>
        <w:tc>
          <w:tcPr>
            <w:tcW w:w="439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预期目标</w:t>
            </w:r>
          </w:p>
        </w:tc>
        <w:tc>
          <w:tcPr>
            <w:tcW w:w="429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4"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39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通过预算执行，保障单位财政供养人员基本工资、津贴补贴、艰边补助预算的收支，保证单位工作正常开展。</w:t>
            </w:r>
          </w:p>
        </w:tc>
        <w:tc>
          <w:tcPr>
            <w:tcW w:w="429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通过预算执行，保障单位财政供养人员基本工资、津贴补贴、艰边补助预算的收支，保证单位工作正常开展。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8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：特克斯县发改委在职人数</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bookmarkStart w:id="32" w:name="_GoBack"/>
            <w:bookmarkEnd w:id="32"/>
            <w:r>
              <w:rPr>
                <w:rFonts w:hint="default" w:ascii="Times New Roman" w:hAnsi="Times New Roman" w:eastAsia="宋体" w:cs="Times New Roman"/>
                <w:i w:val="0"/>
                <w:iCs w:val="0"/>
                <w:color w:val="000000"/>
                <w:kern w:val="0"/>
                <w:sz w:val="24"/>
                <w:szCs w:val="24"/>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：特克斯县发改委退休人数</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3</w:t>
            </w:r>
            <w:r>
              <w:rPr>
                <w:rFonts w:hint="eastAsia" w:ascii="宋体" w:hAnsi="宋体" w:eastAsia="宋体" w:cs="宋体"/>
                <w:i w:val="0"/>
                <w:iCs w:val="0"/>
                <w:color w:val="000000"/>
                <w:kern w:val="0"/>
                <w:sz w:val="24"/>
                <w:szCs w:val="24"/>
                <w:u w:val="none"/>
                <w:lang w:val="en-US" w:eastAsia="zh-CN" w:bidi="ar"/>
              </w:rPr>
              <w:t>：工资及社保发放次数</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4</w:t>
            </w:r>
            <w:r>
              <w:rPr>
                <w:rFonts w:hint="eastAsia" w:ascii="宋体" w:hAnsi="宋体" w:eastAsia="宋体" w:cs="宋体"/>
                <w:i w:val="0"/>
                <w:iCs w:val="0"/>
                <w:color w:val="000000"/>
                <w:kern w:val="0"/>
                <w:sz w:val="24"/>
                <w:szCs w:val="24"/>
                <w:u w:val="none"/>
                <w:lang w:val="en-US" w:eastAsia="zh-CN" w:bidi="ar"/>
              </w:rPr>
              <w:t>：公务用车保障数量</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：确保全局人员工资及社保正常发放</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：保障全局日常工作运转、提高工作效率和工作质量</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65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：预算拨付及时率</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：人员工资福利支出</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375.08</w:t>
            </w:r>
            <w:r>
              <w:rPr>
                <w:rFonts w:hint="eastAsia" w:ascii="宋体" w:hAnsi="宋体" w:eastAsia="宋体" w:cs="宋体"/>
                <w:i w:val="0"/>
                <w:iCs w:val="0"/>
                <w:color w:val="000000"/>
                <w:kern w:val="0"/>
                <w:sz w:val="24"/>
                <w:szCs w:val="24"/>
                <w:u w:val="none"/>
                <w:lang w:val="en-US" w:eastAsia="zh-CN" w:bidi="ar"/>
              </w:rPr>
              <w:t>万元</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375.08</w:t>
            </w:r>
            <w:r>
              <w:rPr>
                <w:rFonts w:hint="eastAsia" w:ascii="宋体" w:hAnsi="宋体" w:eastAsia="宋体" w:cs="宋体"/>
                <w:i w:val="0"/>
                <w:iCs w:val="0"/>
                <w:color w:val="000000"/>
                <w:kern w:val="0"/>
                <w:sz w:val="24"/>
                <w:szCs w:val="24"/>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：人员商品和服务支出</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124.41</w:t>
            </w:r>
            <w:r>
              <w:rPr>
                <w:rFonts w:hint="eastAsia" w:ascii="宋体" w:hAnsi="宋体" w:eastAsia="宋体" w:cs="宋体"/>
                <w:i w:val="0"/>
                <w:iCs w:val="0"/>
                <w:color w:val="000000"/>
                <w:kern w:val="0"/>
                <w:sz w:val="24"/>
                <w:szCs w:val="24"/>
                <w:u w:val="none"/>
                <w:lang w:val="en-US" w:eastAsia="zh-CN" w:bidi="ar"/>
              </w:rPr>
              <w:t>万元</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124.41</w:t>
            </w:r>
            <w:r>
              <w:rPr>
                <w:rFonts w:hint="eastAsia" w:ascii="宋体" w:hAnsi="宋体" w:eastAsia="宋体" w:cs="宋体"/>
                <w:i w:val="0"/>
                <w:iCs w:val="0"/>
                <w:color w:val="000000"/>
                <w:kern w:val="0"/>
                <w:sz w:val="24"/>
                <w:szCs w:val="24"/>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3</w:t>
            </w:r>
            <w:r>
              <w:rPr>
                <w:rFonts w:hint="eastAsia" w:ascii="宋体" w:hAnsi="宋体" w:eastAsia="宋体" w:cs="宋体"/>
                <w:i w:val="0"/>
                <w:iCs w:val="0"/>
                <w:color w:val="000000"/>
                <w:kern w:val="0"/>
                <w:sz w:val="24"/>
                <w:szCs w:val="24"/>
                <w:u w:val="none"/>
                <w:lang w:val="en-US" w:eastAsia="zh-CN" w:bidi="ar"/>
              </w:rPr>
              <w:t>：对个人和家庭补助支出</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11.79</w:t>
            </w:r>
            <w:r>
              <w:rPr>
                <w:rFonts w:hint="eastAsia" w:ascii="宋体" w:hAnsi="宋体" w:eastAsia="宋体" w:cs="宋体"/>
                <w:i w:val="0"/>
                <w:iCs w:val="0"/>
                <w:color w:val="000000"/>
                <w:kern w:val="0"/>
                <w:sz w:val="24"/>
                <w:szCs w:val="24"/>
                <w:u w:val="none"/>
                <w:lang w:val="en-US" w:eastAsia="zh-CN" w:bidi="ar"/>
              </w:rPr>
              <w:t>万元</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11.79</w:t>
            </w:r>
            <w:r>
              <w:rPr>
                <w:rFonts w:hint="eastAsia" w:ascii="宋体" w:hAnsi="宋体" w:eastAsia="宋体" w:cs="宋体"/>
                <w:i w:val="0"/>
                <w:iCs w:val="0"/>
                <w:color w:val="000000"/>
                <w:kern w:val="0"/>
                <w:sz w:val="24"/>
                <w:szCs w:val="24"/>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65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：优化资源配置，提高财政资金使用效益</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65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：提高党政机关执行力和公信力</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逐步提高</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逐步提高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65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：对生态环境影响</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未对生态环境产生消极影响</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未对生态环境产生消极影响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：工作运行情况</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体现政策导向，长期保证工作平稳进行</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体现政策导向，长期保证工作平稳进行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：对人类、社会、资源的可持续影响</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对人类、社会、资源都带来良好的可持续影响</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对人类、社会、资源都带来良好的可持续影响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65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8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w:t>
            </w: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：不断提升满意度</w:t>
            </w:r>
          </w:p>
        </w:tc>
        <w:tc>
          <w:tcPr>
            <w:tcW w:w="1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w:t>
            </w:r>
          </w:p>
        </w:tc>
        <w:tc>
          <w:tcPr>
            <w:tcW w:w="13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r>
              <w:rPr>
                <w:rFonts w:hint="eastAsia" w:ascii="Times New Roman" w:hAnsi="Times New Roman" w:eastAsia="宋体" w:cs="Times New Roman"/>
                <w:i w:val="0"/>
                <w:iCs w:val="0"/>
                <w:color w:val="000000"/>
                <w:kern w:val="0"/>
                <w:sz w:val="24"/>
                <w:szCs w:val="24"/>
                <w:u w:val="none"/>
                <w:lang w:val="en-US" w:eastAsia="zh-CN" w:bidi="ar"/>
              </w:rPr>
              <w:t>5</w:t>
            </w:r>
            <w:r>
              <w:rPr>
                <w:rFonts w:hint="default" w:ascii="Times New Roman" w:hAnsi="Times New Roman" w:eastAsia="宋体" w:cs="Times New Roman"/>
                <w:i w:val="0"/>
                <w:iCs w:val="0"/>
                <w:color w:val="000000"/>
                <w:kern w:val="0"/>
                <w:sz w:val="24"/>
                <w:szCs w:val="24"/>
                <w:u w:val="none"/>
                <w:lang w:val="en-US" w:eastAsia="zh-CN" w:bidi="ar"/>
              </w:rPr>
              <w:t>%</w:t>
            </w:r>
          </w:p>
        </w:tc>
      </w:tr>
    </w:tbl>
    <w:p>
      <w:pPr>
        <w:widowControl w:val="0"/>
        <w:numPr>
          <w:ilvl w:val="0"/>
          <w:numId w:val="0"/>
        </w:numPr>
        <w:ind w:firstLine="420" w:firstLineChars="0"/>
        <w:jc w:val="both"/>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AF00B9"/>
    <w:multiLevelType w:val="singleLevel"/>
    <w:tmpl w:val="DDAF00B9"/>
    <w:lvl w:ilvl="0" w:tentative="0">
      <w:start w:val="2"/>
      <w:numFmt w:val="chineseCounting"/>
      <w:suff w:val="nothing"/>
      <w:lvlText w:val="（%1）"/>
      <w:lvlJc w:val="left"/>
      <w:rPr>
        <w:rFonts w:hint="eastAsia"/>
      </w:rPr>
    </w:lvl>
  </w:abstractNum>
  <w:abstractNum w:abstractNumId="1">
    <w:nsid w:val="4684506F"/>
    <w:multiLevelType w:val="singleLevel"/>
    <w:tmpl w:val="4684506F"/>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66F7D"/>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91178A5"/>
    <w:rsid w:val="0B04065C"/>
    <w:rsid w:val="0B7C442C"/>
    <w:rsid w:val="0BB63F93"/>
    <w:rsid w:val="0C0F44CB"/>
    <w:rsid w:val="0D954E07"/>
    <w:rsid w:val="0D9A6E96"/>
    <w:rsid w:val="0DCE581B"/>
    <w:rsid w:val="0E9A5E97"/>
    <w:rsid w:val="0FCE5F7F"/>
    <w:rsid w:val="10F0488B"/>
    <w:rsid w:val="15AD05C9"/>
    <w:rsid w:val="16467BBB"/>
    <w:rsid w:val="19BF5894"/>
    <w:rsid w:val="1A49346F"/>
    <w:rsid w:val="1AAD3ADD"/>
    <w:rsid w:val="1B28739A"/>
    <w:rsid w:val="1EB60E4D"/>
    <w:rsid w:val="24EB0060"/>
    <w:rsid w:val="2902333C"/>
    <w:rsid w:val="29B223D1"/>
    <w:rsid w:val="36C8616C"/>
    <w:rsid w:val="37540DC3"/>
    <w:rsid w:val="3B09306C"/>
    <w:rsid w:val="3C255000"/>
    <w:rsid w:val="3C3D583E"/>
    <w:rsid w:val="3CD9620B"/>
    <w:rsid w:val="3EAB66C0"/>
    <w:rsid w:val="3ED23E32"/>
    <w:rsid w:val="413D1135"/>
    <w:rsid w:val="43EC504E"/>
    <w:rsid w:val="45AE291E"/>
    <w:rsid w:val="48076488"/>
    <w:rsid w:val="4A8712FD"/>
    <w:rsid w:val="4D7B012C"/>
    <w:rsid w:val="4E73745F"/>
    <w:rsid w:val="4F7041E0"/>
    <w:rsid w:val="4FFF4C2C"/>
    <w:rsid w:val="50A57171"/>
    <w:rsid w:val="52F5771F"/>
    <w:rsid w:val="587A4EC7"/>
    <w:rsid w:val="591F62F3"/>
    <w:rsid w:val="5B3D3676"/>
    <w:rsid w:val="5DE06F5A"/>
    <w:rsid w:val="698E181D"/>
    <w:rsid w:val="69D20992"/>
    <w:rsid w:val="6AD41E6B"/>
    <w:rsid w:val="6B994AD4"/>
    <w:rsid w:val="6C37638F"/>
    <w:rsid w:val="6CF846C9"/>
    <w:rsid w:val="6E0168FE"/>
    <w:rsid w:val="721049F3"/>
    <w:rsid w:val="7287340B"/>
    <w:rsid w:val="756941E2"/>
    <w:rsid w:val="75B267E1"/>
    <w:rsid w:val="78C736A2"/>
    <w:rsid w:val="7B875081"/>
    <w:rsid w:val="7D380F10"/>
    <w:rsid w:val="7EE26C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99"/>
    <w:pPr>
      <w:widowControl w:val="0"/>
      <w:autoSpaceDE w:val="0"/>
      <w:autoSpaceDN w:val="0"/>
      <w:adjustRightInd w:val="0"/>
    </w:pPr>
    <w:rPr>
      <w:rFonts w:ascii="隶书" w:hAnsi="Calibri" w:eastAsia="隶书" w:cs="隶书"/>
      <w:color w:val="000000"/>
      <w:kern w:val="0"/>
      <w:sz w:val="24"/>
      <w:szCs w:val="24"/>
      <w:lang w:val="en-US" w:eastAsia="zh-CN" w:bidi="ar-SA"/>
    </w:rPr>
  </w:style>
  <w:style w:type="paragraph" w:styleId="7">
    <w:name w:val="toc 3"/>
    <w:basedOn w:val="1"/>
    <w:next w:val="1"/>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4"/>
    <w:qFormat/>
    <w:uiPriority w:val="11"/>
    <w:pPr>
      <w:spacing w:before="240" w:after="60" w:line="312" w:lineRule="auto"/>
      <w:jc w:val="center"/>
      <w:outlineLvl w:val="1"/>
    </w:pPr>
    <w:rPr>
      <w:b/>
      <w:bCs/>
      <w:kern w:val="28"/>
      <w:sz w:val="32"/>
      <w:szCs w:val="32"/>
    </w:rPr>
  </w:style>
  <w:style w:type="paragraph" w:styleId="12">
    <w:name w:val="toc 2"/>
    <w:basedOn w:val="1"/>
    <w:next w:val="1"/>
    <w:unhideWhenUsed/>
    <w:qFormat/>
    <w:uiPriority w:val="39"/>
    <w:pPr>
      <w:ind w:left="420" w:leftChars="200"/>
    </w:pPr>
  </w:style>
  <w:style w:type="paragraph" w:styleId="13">
    <w:name w:val="Normal (Web)"/>
    <w:basedOn w:val="1"/>
    <w:qFormat/>
    <w:uiPriority w:val="99"/>
    <w:pPr>
      <w:spacing w:before="100" w:beforeAutospacing="1" w:after="100" w:afterAutospacing="1"/>
      <w:jc w:val="left"/>
    </w:pPr>
    <w:rPr>
      <w:rFonts w:cs="Times New Roman"/>
      <w:sz w:val="24"/>
    </w:rPr>
  </w:style>
  <w:style w:type="paragraph" w:styleId="14">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页眉 字符"/>
    <w:basedOn w:val="16"/>
    <w:link w:val="9"/>
    <w:qFormat/>
    <w:uiPriority w:val="99"/>
    <w:rPr>
      <w:sz w:val="18"/>
      <w:szCs w:val="18"/>
    </w:rPr>
  </w:style>
  <w:style w:type="character" w:customStyle="1" w:styleId="20">
    <w:name w:val="页脚 字符"/>
    <w:basedOn w:val="16"/>
    <w:link w:val="8"/>
    <w:qFormat/>
    <w:uiPriority w:val="99"/>
    <w:rPr>
      <w:sz w:val="18"/>
      <w:szCs w:val="18"/>
    </w:rPr>
  </w:style>
  <w:style w:type="paragraph" w:styleId="21">
    <w:name w:val="List Paragraph"/>
    <w:basedOn w:val="1"/>
    <w:unhideWhenUsed/>
    <w:qFormat/>
    <w:uiPriority w:val="99"/>
    <w:pPr>
      <w:ind w:firstLine="420" w:firstLineChars="200"/>
    </w:pPr>
  </w:style>
  <w:style w:type="character" w:customStyle="1" w:styleId="22">
    <w:name w:val="标题 字符"/>
    <w:basedOn w:val="16"/>
    <w:link w:val="14"/>
    <w:qFormat/>
    <w:uiPriority w:val="10"/>
    <w:rPr>
      <w:rFonts w:asciiTheme="majorHAnsi" w:hAnsiTheme="majorHAnsi" w:eastAsiaTheme="majorEastAsia" w:cstheme="majorBidi"/>
      <w:b/>
      <w:bCs/>
      <w:sz w:val="32"/>
      <w:szCs w:val="32"/>
    </w:rPr>
  </w:style>
  <w:style w:type="character" w:customStyle="1" w:styleId="23">
    <w:name w:val="标题 2 字符"/>
    <w:basedOn w:val="16"/>
    <w:link w:val="4"/>
    <w:qFormat/>
    <w:uiPriority w:val="9"/>
    <w:rPr>
      <w:rFonts w:asciiTheme="majorHAnsi" w:hAnsiTheme="majorHAnsi" w:eastAsiaTheme="majorEastAsia" w:cstheme="majorBidi"/>
      <w:b/>
      <w:bCs/>
      <w:sz w:val="32"/>
      <w:szCs w:val="32"/>
    </w:rPr>
  </w:style>
  <w:style w:type="character" w:customStyle="1" w:styleId="24">
    <w:name w:val="副标题 字符"/>
    <w:basedOn w:val="16"/>
    <w:link w:val="11"/>
    <w:qFormat/>
    <w:uiPriority w:val="11"/>
    <w:rPr>
      <w:b/>
      <w:bCs/>
      <w:kern w:val="28"/>
      <w:sz w:val="32"/>
      <w:szCs w:val="32"/>
    </w:rPr>
  </w:style>
  <w:style w:type="character" w:customStyle="1" w:styleId="25">
    <w:name w:val="标题 3 字符"/>
    <w:basedOn w:val="16"/>
    <w:link w:val="5"/>
    <w:qFormat/>
    <w:uiPriority w:val="9"/>
    <w:rPr>
      <w:b/>
      <w:bCs/>
      <w:sz w:val="32"/>
      <w:szCs w:val="32"/>
    </w:rPr>
  </w:style>
  <w:style w:type="character" w:styleId="26">
    <w:name w:val="Placeholder Text"/>
    <w:basedOn w:val="16"/>
    <w:semiHidden/>
    <w:qFormat/>
    <w:uiPriority w:val="99"/>
    <w:rPr>
      <w:color w:val="808080"/>
    </w:rPr>
  </w:style>
  <w:style w:type="character" w:customStyle="1" w:styleId="27">
    <w:name w:val="标题 1 字符"/>
    <w:basedOn w:val="16"/>
    <w:link w:val="3"/>
    <w:qFormat/>
    <w:uiPriority w:val="9"/>
    <w:rPr>
      <w:b/>
      <w:bCs/>
      <w:kern w:val="44"/>
      <w:sz w:val="44"/>
      <w:szCs w:val="44"/>
    </w:rPr>
  </w:style>
  <w:style w:type="paragraph" w:customStyle="1" w:styleId="28">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9">
    <w:name w:val="标题 4 字符"/>
    <w:basedOn w:val="16"/>
    <w:link w:val="6"/>
    <w:qFormat/>
    <w:uiPriority w:val="9"/>
    <w:rPr>
      <w:rFonts w:asciiTheme="majorHAnsi" w:hAnsiTheme="majorHAnsi" w:eastAsiaTheme="majorEastAsia" w:cstheme="majorBidi"/>
      <w:b/>
      <w:bCs/>
      <w:sz w:val="28"/>
      <w:szCs w:val="28"/>
    </w:rPr>
  </w:style>
  <w:style w:type="character" w:customStyle="1" w:styleId="30">
    <w:name w:val="font01"/>
    <w:basedOn w:val="16"/>
    <w:qFormat/>
    <w:uiPriority w:val="0"/>
    <w:rPr>
      <w:rFonts w:hint="eastAsia" w:ascii="宋体" w:hAnsi="宋体" w:eastAsia="宋体" w:cs="宋体"/>
      <w:color w:val="000000"/>
      <w:sz w:val="24"/>
      <w:szCs w:val="24"/>
      <w:u w:val="none"/>
    </w:rPr>
  </w:style>
  <w:style w:type="character" w:customStyle="1" w:styleId="31">
    <w:name w:val="font41"/>
    <w:basedOn w:val="16"/>
    <w:qFormat/>
    <w:uiPriority w:val="0"/>
    <w:rPr>
      <w:rFonts w:hint="default" w:ascii="Times New Roman" w:hAnsi="Times New Roman" w:cs="Times New Roman"/>
      <w:color w:val="000000"/>
      <w:sz w:val="24"/>
      <w:szCs w:val="24"/>
      <w:u w:val="none"/>
    </w:rPr>
  </w:style>
  <w:style w:type="paragraph" w:customStyle="1" w:styleId="32">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9062</Words>
  <Characters>9634</Characters>
  <Lines>72</Lines>
  <Paragraphs>20</Paragraphs>
  <TotalTime>28</TotalTime>
  <ScaleCrop>false</ScaleCrop>
  <LinksUpToDate>false</LinksUpToDate>
  <CharactersWithSpaces>9671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2022-05-26T10:44:51Z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9AAF52790C1F4BB5BA08D4CCF0B409E1</vt:lpwstr>
  </property>
</Properties>
</file>